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E1" w:rsidRDefault="00830CE1" w:rsidP="00963014">
      <w:pPr>
        <w:jc w:val="center"/>
        <w:rPr>
          <w:rStyle w:val="Heading1Char"/>
        </w:rPr>
      </w:pPr>
    </w:p>
    <w:p w:rsidR="002C5D67" w:rsidRDefault="003705F1" w:rsidP="00963014">
      <w:pPr>
        <w:jc w:val="center"/>
        <w:rPr>
          <w:rStyle w:val="Heading1Char"/>
        </w:rPr>
      </w:pPr>
      <w:r>
        <w:rPr>
          <w:noProof/>
          <w:lang w:eastAsia="en-GB"/>
        </w:rPr>
      </w: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6.15pt;height:110.6pt;mso-left-percent:-10001;mso-top-percent:-10001;mso-wrap-distance-left:0;mso-wrap-distance-top:0;mso-wrap-distance-right:0;mso-wrap-distance-bottom:0;mso-position-horizontal:absolute;mso-position-horizontal-relative:char;mso-position-vertical:absolute;mso-position-vertical-relative:line;mso-left-percent:-10001;mso-top-percent:-10001;v-text-anchor:top" stroked="f">
            <v:textbox style="mso-fit-shape-to-text:t" inset="0,0,0,0">
              <w:txbxContent>
                <w:p w:rsidR="00A9174D" w:rsidRPr="000A0DA3" w:rsidRDefault="003705F1" w:rsidP="003705F1">
                  <w:pPr>
                    <w:jc w:val="center"/>
                    <w:rPr>
                      <w:rStyle w:val="TitleChar"/>
                    </w:rPr>
                  </w:pPr>
                  <w:sdt>
                    <w:sdtPr>
                      <w:rPr>
                        <w:rFonts w:ascii="Verdana" w:hAnsi="Verdana" w:cs="Verdana"/>
                        <w:color w:val="000000"/>
                        <w:sz w:val="36"/>
                        <w:szCs w:val="36"/>
                        <w:lang w:val="en-US"/>
                      </w:rPr>
                      <w:alias w:val="Title"/>
                      <w:id w:val="18969941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r w:rsidRPr="003705F1">
                        <w:rPr>
                          <w:rFonts w:ascii="Verdana" w:hAnsi="Verdana" w:cs="Verdana"/>
                          <w:color w:val="000000"/>
                          <w:sz w:val="36"/>
                          <w:szCs w:val="36"/>
                          <w:lang w:val="en-US"/>
                        </w:rPr>
                        <w:t>&lt;Nome do processo&gt;</w:t>
                      </w:r>
                    </w:sdtContent>
                  </w:sdt>
                </w:p>
              </w:txbxContent>
            </v:textbox>
            <w10:anchorlock/>
          </v:shape>
        </w:pic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Detalhes de contato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AN Other, a.n.other@example.company.com, 01234 567 890, 07123 456 789.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Requisito do processo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Fornecer uma visão geral detalhada do requisito do negócio.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Solução Blue Prism proposta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Fornecer uma descrição detalhada de como o requisito do negócio será atendido usando Blue Prism.</w:t>
      </w:r>
    </w:p>
    <w:p w:rsidR="00CB6F13" w:rsidRDefault="00B7190E" w:rsidP="00CB6F13">
      <w:pPr>
        <w:pStyle w:val="Heading2"/>
      </w:pPr>
      <w:r>
        <w:rPr>
          <w:rFonts w:eastAsia="Calibri" w:cs="Calibri"/>
          <w:bdr w:val="nil"/>
          <w:lang w:val="pt-BR"/>
        </w:rPr>
        <w:t>Pré-requisitos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É obrigatória a documentação detalhada do processo resumindo cada um dos procedimentos passo a passo.</w:t>
      </w:r>
      <w:bookmarkStart w:id="0" w:name="_GoBack"/>
      <w:bookmarkEnd w:id="0"/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É obrigatório um ambiente de desenvolvimento de TI adequado como definido na fase de iniciação do projeto e acesso aos sistemas em escopo</w:t>
      </w:r>
    </w:p>
    <w:p w:rsidR="00CB6F13" w:rsidRDefault="00B7190E" w:rsidP="00CB6F13">
      <w:pPr>
        <w:pStyle w:val="Heading2"/>
      </w:pPr>
      <w:r>
        <w:rPr>
          <w:rFonts w:eastAsia="Calibri" w:cs="Calibri"/>
          <w:bdr w:val="nil"/>
          <w:lang w:val="pt-BR"/>
        </w:rPr>
        <w:t>Pressuposições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Especialistas no assunto (SMEs) adequadamente qualificados estarão disponíveis para dar suporte à produção da automação desse processo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Estimativas</w:t>
      </w:r>
    </w:p>
    <w:p w:rsidR="00CB6F13" w:rsidRPr="00725D0B" w:rsidRDefault="00B7190E" w:rsidP="00CB6F13">
      <w:pPr>
        <w:pStyle w:val="Heading3"/>
        <w:rPr>
          <w:lang w:val="pt-BR"/>
        </w:rPr>
      </w:pPr>
      <w:r>
        <w:rPr>
          <w:rFonts w:eastAsia="Calibri" w:cs="Calibri"/>
          <w:bdr w:val="nil"/>
          <w:lang w:val="pt-BR"/>
        </w:rPr>
        <w:t>Produção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A seguinte estimativa inclui análise, design, documentação, configuração, teste e suporte em tempo real.</w:t>
      </w:r>
    </w:p>
    <w:p w:rsidR="00CB6F13" w:rsidRPr="0039501D" w:rsidRDefault="00B7190E" w:rsidP="0039501D">
      <w:pPr>
        <w:pStyle w:val="Bullet"/>
      </w:pPr>
      <w:r>
        <w:rPr>
          <w:rFonts w:eastAsia="Calibri Light" w:cs="Calibri Light"/>
          <w:bdr w:val="nil"/>
          <w:lang w:val="pt-BR"/>
        </w:rPr>
        <w:t>Opção 1 – x dias</w:t>
      </w:r>
    </w:p>
    <w:p w:rsidR="00CB6F13" w:rsidRPr="0039501D" w:rsidRDefault="00B7190E" w:rsidP="0039501D">
      <w:pPr>
        <w:pStyle w:val="Bullet"/>
      </w:pPr>
      <w:r>
        <w:rPr>
          <w:rFonts w:eastAsia="Calibri Light" w:cs="Calibri Light"/>
          <w:bdr w:val="nil"/>
          <w:lang w:val="pt-BR"/>
        </w:rPr>
        <w:t>Opção 2 – y dias</w:t>
      </w:r>
    </w:p>
    <w:p w:rsidR="00CB6F13" w:rsidRPr="001A7068" w:rsidRDefault="00B7190E" w:rsidP="00CB6F13">
      <w:pPr>
        <w:pStyle w:val="Heading3"/>
      </w:pPr>
      <w:r>
        <w:rPr>
          <w:rFonts w:eastAsia="Calibri" w:cs="Calibri"/>
          <w:bdr w:val="nil"/>
          <w:lang w:val="pt-BR"/>
        </w:rPr>
        <w:t>Produção</w:t>
      </w:r>
    </w:p>
    <w:p w:rsidR="00CB6F13" w:rsidRPr="00725D0B" w:rsidRDefault="00B7190E" w:rsidP="00CB6F13">
      <w:pPr>
        <w:pStyle w:val="Bullet"/>
        <w:numPr>
          <w:ilvl w:val="0"/>
          <w:numId w:val="0"/>
        </w:numPr>
        <w:ind w:left="284"/>
        <w:rPr>
          <w:lang w:val="pt-BR"/>
        </w:rPr>
      </w:pPr>
      <w:r>
        <w:rPr>
          <w:rFonts w:eastAsia="Calibri Light" w:cs="Calibri Light"/>
          <w:bdr w:val="nil"/>
          <w:lang w:val="pt-BR"/>
        </w:rPr>
        <w:t>Controlador – estima-se que esse processo possa ser absorvido pela carga de trabalho de recursos do controlador do processo existente / estima-se que um controlador adicional do processo será necessário para executar esse processo na produção / uma nova equipe de controladores é necessária para executar esse processo / outro</w:t>
      </w:r>
    </w:p>
    <w:p w:rsidR="00CB6F13" w:rsidRPr="00725D0B" w:rsidRDefault="00B7190E" w:rsidP="00CB6F13">
      <w:pPr>
        <w:pStyle w:val="Bullet"/>
        <w:numPr>
          <w:ilvl w:val="0"/>
          <w:numId w:val="0"/>
        </w:numPr>
        <w:ind w:left="284"/>
        <w:rPr>
          <w:lang w:val="pt-BR"/>
        </w:rPr>
      </w:pPr>
      <w:r>
        <w:rPr>
          <w:rFonts w:eastAsia="Calibri Light" w:cs="Calibri Light"/>
          <w:bdr w:val="nil"/>
          <w:lang w:val="pt-BR"/>
        </w:rPr>
        <w:t>Manutenção – devido à propensão dos sistemas subjacentes e/ou regras do negócio mudarem, estima-se que o negócio como atividade de manutenção usual nesse processo será igual a x dias por ano / visto que os sistemas subjacentes e regras do negócio são estáticos, estima-se que o negócio como atividade de manutenção usual será igual a x dias por ano / outro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Métricas do processo e volumes de caso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Listar métricas chave existentes ou previstas sobre volume ou produtividade esperada.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(Incluir unidades de tempo por tipo de cenário principal, volumes por tipo de cenário principal, prazos ou SLAs que afetam a operação, variância em volumes diários.)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Categorias de benefícios para os negócios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Descrever os benefícios, como quantificados pelo cliente.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(Ex. economia FTE, aprimoramento da qualidade dos dados, mais experiência do cliente, conformidade etc. - solicitante para quantificar, Blue Prism para dar suporte à atividade de quantificação, se necessário)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lastRenderedPageBreak/>
        <w:t>Exceções e indicações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Espera-se que a estimativa do nível inicial da indicação de negócio (ou seja, ações do processo que devem ser referenciadas pelo processo Blue Prism para o Departamento Operacional para entrada manual e, consequentemente, não se espera que sejam processadas automaticamente ponta a ponta) esteja no intervalo de </w:t>
      </w:r>
      <w:r>
        <w:rPr>
          <w:rFonts w:eastAsia="Calibri Light" w:cs="Calibri Light"/>
          <w:highlight w:val="yellow"/>
          <w:bdr w:val="nil"/>
          <w:lang w:val="pt-BR"/>
        </w:rPr>
        <w:t>x – y</w:t>
      </w:r>
      <w:r>
        <w:rPr>
          <w:rFonts w:eastAsia="Calibri Light" w:cs="Calibri Light"/>
          <w:bdr w:val="nil"/>
          <w:lang w:val="pt-BR"/>
        </w:rPr>
        <w:t xml:space="preserve"> %. Essa estimativa do intervalo pressupões que apenas casos ‘em escopo’ serão passados para Blue Prism para processamento e revisados no decorrer do design do projeto e fase de entrega. 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Espera-se que o nível das exceções do sistema host (ou seja, casos em que são encontrados eventos inesperados do sistema host) esteja no intervalo de </w:t>
      </w:r>
      <w:r>
        <w:rPr>
          <w:rFonts w:eastAsia="Calibri Light" w:cs="Calibri Light"/>
          <w:highlight w:val="yellow"/>
          <w:bdr w:val="nil"/>
          <w:lang w:val="pt-BR"/>
        </w:rPr>
        <w:t>x – y</w:t>
      </w:r>
      <w:r>
        <w:rPr>
          <w:rFonts w:eastAsia="Calibri Light" w:cs="Calibri Light"/>
          <w:bdr w:val="nil"/>
          <w:lang w:val="pt-BR"/>
        </w:rPr>
        <w:t xml:space="preserve"> % quando o processo se torna inicialmente operacional. Essa estimativa do intervalo será revisada e refinada durante o design do projeto e a fase de entrega.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Considerações do ambiente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Uma plataforma de TI segura, controlada e flexível é necessária para a produção de processos automatizados através da Blue Prism. Um guia de infraestrutura e um documento com as diretrizes de especificação de hardware estão disponíveis para dar suporte à definição e criação dessa plataforma.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A Blue Prism Professional Services trabalhará com o cliente durante a iniciação do projeto para induzir as atividades necessárias para implementar essa plataforma.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Pressupõe-se que o número de áreas de trabalho virtuais necessárias para esse processo seja igual à metade do número de FTE atualmente trabalhando o processo. Esse número será revisado e refinado durante as próximas fases do projeto.</w:t>
      </w:r>
    </w:p>
    <w:p w:rsidR="00CB6F13" w:rsidRPr="00725D0B" w:rsidRDefault="00B7190E" w:rsidP="00CB6F13">
      <w:pPr>
        <w:pStyle w:val="Heading1"/>
        <w:rPr>
          <w:lang w:val="pt-BR"/>
        </w:rPr>
      </w:pPr>
      <w:r>
        <w:rPr>
          <w:rFonts w:eastAsia="Calibri" w:cs="Calibri"/>
          <w:bdr w:val="nil"/>
          <w:lang w:val="pt-BR"/>
        </w:rPr>
        <w:t>Resumo da análise inicial do processo</w:t>
      </w:r>
    </w:p>
    <w:p w:rsidR="00CB6F13" w:rsidRPr="00725D0B" w:rsidRDefault="00B7190E" w:rsidP="00CB6F13">
      <w:pPr>
        <w:pStyle w:val="Heading2"/>
        <w:rPr>
          <w:lang w:val="pt-BR"/>
        </w:rPr>
      </w:pPr>
      <w:r>
        <w:rPr>
          <w:rFonts w:eastAsia="Calibri" w:cs="Calibri"/>
          <w:bdr w:val="nil"/>
          <w:lang w:val="pt-BR"/>
        </w:rPr>
        <w:t>Avaliação do fator chave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Os seguintes fatores foram avaliados como parte do exercício de coleta de dados para essa análise inicial do processo. Cada item está avaliado na seguinte escala: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1.</w:t>
      </w:r>
      <w:r>
        <w:rPr>
          <w:rFonts w:eastAsia="Calibri Light" w:cs="Calibri Light"/>
          <w:bdr w:val="nil"/>
          <w:lang w:val="pt-BR"/>
        </w:rPr>
        <w:tab/>
        <w:t>Reduzir os níveis de exceção, tamanho ou estimativa do intervalo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2.</w:t>
      </w:r>
      <w:r>
        <w:rPr>
          <w:rFonts w:eastAsia="Calibri Light" w:cs="Calibri Light"/>
          <w:bdr w:val="nil"/>
          <w:lang w:val="pt-BR"/>
        </w:rPr>
        <w:tab/>
        <w:t>Nível médio de exceção (5-15%), tamanho (20-30 dias) ou estimativa do intervalo (10 dias)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3.</w:t>
      </w:r>
      <w:r>
        <w:rPr>
          <w:rFonts w:eastAsia="Calibri Light" w:cs="Calibri Light"/>
          <w:bdr w:val="nil"/>
          <w:lang w:val="pt-BR"/>
        </w:rPr>
        <w:tab/>
        <w:t>Aumentar os níveis de exceção ou estimativa do intervalo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2477"/>
        <w:gridCol w:w="1337"/>
        <w:gridCol w:w="4602"/>
        <w:gridCol w:w="1790"/>
      </w:tblGrid>
      <w:tr w:rsidR="00D61672" w:rsidTr="0039501D">
        <w:tc>
          <w:tcPr>
            <w:tcW w:w="2552" w:type="dxa"/>
          </w:tcPr>
          <w:p w:rsidR="00CB6F13" w:rsidRDefault="00B7190E" w:rsidP="001C2F9F">
            <w:pPr>
              <w:pStyle w:val="TableHeading"/>
            </w:pPr>
            <w:r>
              <w:rPr>
                <w:rFonts w:eastAsia="Arial" w:cs="Arial"/>
                <w:bCs/>
                <w:bdr w:val="nil"/>
                <w:lang w:val="pt-BR"/>
              </w:rPr>
              <w:t>Fator</w:t>
            </w:r>
          </w:p>
        </w:tc>
        <w:tc>
          <w:tcPr>
            <w:tcW w:w="963" w:type="dxa"/>
          </w:tcPr>
          <w:p w:rsidR="00CB6F13" w:rsidRDefault="00B7190E" w:rsidP="001C2F9F">
            <w:pPr>
              <w:pStyle w:val="TableHeading"/>
            </w:pPr>
            <w:r>
              <w:rPr>
                <w:rFonts w:eastAsia="Arial" w:cs="Arial"/>
                <w:bCs/>
                <w:bdr w:val="nil"/>
                <w:lang w:val="pt-BR"/>
              </w:rPr>
              <w:t>Avaliação</w:t>
            </w:r>
          </w:p>
        </w:tc>
        <w:tc>
          <w:tcPr>
            <w:tcW w:w="4849" w:type="dxa"/>
          </w:tcPr>
          <w:p w:rsidR="00CB6F13" w:rsidRDefault="00B7190E" w:rsidP="001C2F9F">
            <w:pPr>
              <w:pStyle w:val="TableHeading"/>
            </w:pPr>
            <w:r>
              <w:rPr>
                <w:rFonts w:eastAsia="Arial" w:cs="Arial"/>
                <w:bCs/>
                <w:bdr w:val="nil"/>
                <w:lang w:val="pt-BR"/>
              </w:rPr>
              <w:t>Comentário</w:t>
            </w:r>
          </w:p>
        </w:tc>
        <w:tc>
          <w:tcPr>
            <w:tcW w:w="1842" w:type="dxa"/>
          </w:tcPr>
          <w:p w:rsidR="00CB6F13" w:rsidRDefault="00B7190E" w:rsidP="001C2F9F">
            <w:pPr>
              <w:pStyle w:val="TableHeading"/>
            </w:pPr>
            <w:r>
              <w:rPr>
                <w:rFonts w:eastAsia="Arial" w:cs="Arial"/>
                <w:bCs/>
                <w:bdr w:val="nil"/>
                <w:lang w:val="pt-BR"/>
              </w:rPr>
              <w:t>Área de impacto</w:t>
            </w:r>
          </w:p>
        </w:tc>
      </w:tr>
      <w:tr w:rsidR="00D61672" w:rsidTr="0039501D">
        <w:tc>
          <w:tcPr>
            <w:tcW w:w="2552" w:type="dxa"/>
          </w:tcPr>
          <w:p w:rsidR="00CB6F13" w:rsidRPr="00725D0B" w:rsidRDefault="00B7190E" w:rsidP="001C2F9F">
            <w:pPr>
              <w:rPr>
                <w:b/>
                <w:lang w:val="pt-BR"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Definição do processo do negócio</w:t>
            </w:r>
          </w:p>
        </w:tc>
        <w:tc>
          <w:tcPr>
            <w:tcW w:w="963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1</w:t>
            </w:r>
          </w:p>
        </w:tc>
        <w:tc>
          <w:tcPr>
            <w:tcW w:w="4849" w:type="dxa"/>
          </w:tcPr>
          <w:p w:rsidR="00CB6F13" w:rsidRPr="00725D0B" w:rsidRDefault="00B7190E" w:rsidP="001C2F9F">
            <w:pPr>
              <w:rPr>
                <w:b/>
                <w:lang w:val="pt-BR"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Descrições detalhadas e documentadas do processo existem e foram testemunhadas. A qualidade da documentação será avaliada durante a investigação do local do cliente</w:t>
            </w:r>
          </w:p>
        </w:tc>
        <w:tc>
          <w:tcPr>
            <w:tcW w:w="184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 xml:space="preserve">Níveis de exceção </w:t>
            </w:r>
          </w:p>
        </w:tc>
      </w:tr>
      <w:tr w:rsidR="00D61672" w:rsidTr="0039501D">
        <w:tc>
          <w:tcPr>
            <w:tcW w:w="2552" w:type="dxa"/>
          </w:tcPr>
          <w:p w:rsidR="00CB6F13" w:rsidRPr="001F72A5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Especialista no assunto</w:t>
            </w:r>
          </w:p>
        </w:tc>
        <w:tc>
          <w:tcPr>
            <w:tcW w:w="963" w:type="dxa"/>
          </w:tcPr>
          <w:p w:rsidR="00CB6F13" w:rsidRPr="001F72A5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1</w:t>
            </w:r>
          </w:p>
        </w:tc>
        <w:tc>
          <w:tcPr>
            <w:tcW w:w="4849" w:type="dxa"/>
          </w:tcPr>
          <w:p w:rsidR="00CB6F13" w:rsidRPr="00725D0B" w:rsidRDefault="00B7190E" w:rsidP="001C2F9F">
            <w:pPr>
              <w:rPr>
                <w:lang w:val="pt-BR"/>
              </w:rPr>
            </w:pPr>
            <w:r>
              <w:rPr>
                <w:rFonts w:eastAsia="Calibri Light" w:cs="Calibri Light"/>
                <w:bdr w:val="nil"/>
                <w:lang w:val="pt-BR"/>
              </w:rPr>
              <w:t>O SME tem bons conhecimentos do processo documentado e estará disponível para dar suporte ao projeto</w:t>
            </w:r>
          </w:p>
        </w:tc>
        <w:tc>
          <w:tcPr>
            <w:tcW w:w="1842" w:type="dxa"/>
          </w:tcPr>
          <w:p w:rsidR="00CB6F13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Níveis de exceção</w:t>
            </w:r>
          </w:p>
        </w:tc>
      </w:tr>
      <w:tr w:rsidR="00D61672" w:rsidTr="0039501D">
        <w:tc>
          <w:tcPr>
            <w:tcW w:w="255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 xml:space="preserve">Complexidade do processo </w:t>
            </w:r>
          </w:p>
        </w:tc>
        <w:tc>
          <w:tcPr>
            <w:tcW w:w="963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2</w:t>
            </w:r>
          </w:p>
        </w:tc>
        <w:tc>
          <w:tcPr>
            <w:tcW w:w="4849" w:type="dxa"/>
          </w:tcPr>
          <w:p w:rsidR="00CB6F13" w:rsidRPr="00725D0B" w:rsidRDefault="00B7190E" w:rsidP="001C2F9F">
            <w:pPr>
              <w:rPr>
                <w:b/>
                <w:lang w:val="pt-BR"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O processo do negócio acessa apenas uma ou duas aplicações e tem fórmula média</w:t>
            </w:r>
          </w:p>
        </w:tc>
        <w:tc>
          <w:tcPr>
            <w:tcW w:w="184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Estimativa do tamanho</w:t>
            </w:r>
          </w:p>
        </w:tc>
      </w:tr>
      <w:tr w:rsidR="00D61672" w:rsidTr="0039501D">
        <w:tc>
          <w:tcPr>
            <w:tcW w:w="2552" w:type="dxa"/>
          </w:tcPr>
          <w:p w:rsidR="00CB6F13" w:rsidRPr="006C1365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Tecnologia da aplicação host</w:t>
            </w:r>
          </w:p>
        </w:tc>
        <w:tc>
          <w:tcPr>
            <w:tcW w:w="963" w:type="dxa"/>
          </w:tcPr>
          <w:p w:rsidR="00CB6F13" w:rsidRPr="006C1365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2</w:t>
            </w:r>
          </w:p>
        </w:tc>
        <w:tc>
          <w:tcPr>
            <w:tcW w:w="4849" w:type="dxa"/>
          </w:tcPr>
          <w:p w:rsidR="00CB6F13" w:rsidRPr="006C1365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Java e Windows</w:t>
            </w:r>
          </w:p>
        </w:tc>
        <w:tc>
          <w:tcPr>
            <w:tcW w:w="1842" w:type="dxa"/>
          </w:tcPr>
          <w:p w:rsidR="00CB6F13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Tecnologia da aplicação host</w:t>
            </w:r>
          </w:p>
        </w:tc>
      </w:tr>
      <w:tr w:rsidR="00D61672" w:rsidTr="0039501D">
        <w:tc>
          <w:tcPr>
            <w:tcW w:w="255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Reutilização de componentes existentes</w:t>
            </w:r>
          </w:p>
        </w:tc>
        <w:tc>
          <w:tcPr>
            <w:tcW w:w="963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3</w:t>
            </w:r>
          </w:p>
        </w:tc>
        <w:tc>
          <w:tcPr>
            <w:tcW w:w="4849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 xml:space="preserve">Não existem componentes </w:t>
            </w:r>
          </w:p>
        </w:tc>
        <w:tc>
          <w:tcPr>
            <w:tcW w:w="184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 xml:space="preserve">Estimativa do tamanho </w:t>
            </w:r>
          </w:p>
        </w:tc>
      </w:tr>
      <w:tr w:rsidR="00D61672" w:rsidTr="0039501D">
        <w:tc>
          <w:tcPr>
            <w:tcW w:w="2552" w:type="dxa"/>
          </w:tcPr>
          <w:p w:rsidR="00CB6F13" w:rsidRPr="00725D0B" w:rsidRDefault="00B7190E" w:rsidP="001C2F9F">
            <w:pPr>
              <w:rPr>
                <w:lang w:val="pt-BR"/>
              </w:rPr>
            </w:pPr>
            <w:r>
              <w:rPr>
                <w:rFonts w:eastAsia="Calibri Light" w:cs="Calibri Light"/>
                <w:bdr w:val="nil"/>
                <w:lang w:val="pt-BR"/>
              </w:rPr>
              <w:lastRenderedPageBreak/>
              <w:t>Disponibilidade dos dados de teste</w:t>
            </w:r>
          </w:p>
        </w:tc>
        <w:tc>
          <w:tcPr>
            <w:tcW w:w="963" w:type="dxa"/>
          </w:tcPr>
          <w:p w:rsidR="00CB6F13" w:rsidRPr="00BB3F3C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2</w:t>
            </w:r>
          </w:p>
        </w:tc>
        <w:tc>
          <w:tcPr>
            <w:tcW w:w="4849" w:type="dxa"/>
          </w:tcPr>
          <w:p w:rsidR="00CB6F13" w:rsidRPr="00725D0B" w:rsidRDefault="00B7190E" w:rsidP="001C2F9F">
            <w:pPr>
              <w:rPr>
                <w:lang w:val="pt-BR"/>
              </w:rPr>
            </w:pPr>
            <w:r>
              <w:rPr>
                <w:rFonts w:eastAsia="Calibri Light" w:cs="Calibri Light"/>
                <w:bdr w:val="nil"/>
                <w:lang w:val="pt-BR"/>
              </w:rPr>
              <w:t>O ambiente de teste é uma réplica exata do real</w:t>
            </w:r>
          </w:p>
        </w:tc>
        <w:tc>
          <w:tcPr>
            <w:tcW w:w="1842" w:type="dxa"/>
          </w:tcPr>
          <w:p w:rsidR="00CB6F13" w:rsidRPr="00BB3F3C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Estimativa do intervalo</w:t>
            </w:r>
          </w:p>
        </w:tc>
      </w:tr>
      <w:tr w:rsidR="00D61672" w:rsidTr="0039501D">
        <w:tc>
          <w:tcPr>
            <w:tcW w:w="2552" w:type="dxa"/>
          </w:tcPr>
          <w:p w:rsidR="00CB6F13" w:rsidRPr="00725D0B" w:rsidRDefault="00B7190E" w:rsidP="001C2F9F">
            <w:pPr>
              <w:rPr>
                <w:b/>
                <w:lang w:val="pt-BR"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Disponibilidade do hardware e aprovação de segurança</w:t>
            </w:r>
          </w:p>
        </w:tc>
        <w:tc>
          <w:tcPr>
            <w:tcW w:w="963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3</w:t>
            </w:r>
          </w:p>
        </w:tc>
        <w:tc>
          <w:tcPr>
            <w:tcW w:w="4849" w:type="dxa"/>
          </w:tcPr>
          <w:p w:rsidR="00CB6F13" w:rsidRPr="00725D0B" w:rsidRDefault="00B7190E" w:rsidP="001C2F9F">
            <w:pPr>
              <w:rPr>
                <w:b/>
                <w:lang w:val="pt-BR"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Estratégia de segurança e hardware incerta neste momento</w:t>
            </w:r>
          </w:p>
        </w:tc>
        <w:tc>
          <w:tcPr>
            <w:tcW w:w="1842" w:type="dxa"/>
          </w:tcPr>
          <w:p w:rsidR="00CB6F13" w:rsidRPr="00C428D4" w:rsidRDefault="00B7190E" w:rsidP="001C2F9F">
            <w:pPr>
              <w:rPr>
                <w:b/>
              </w:rPr>
            </w:pPr>
            <w:r>
              <w:rPr>
                <w:rFonts w:eastAsia="Calibri Light" w:cs="Calibri Light"/>
                <w:b/>
                <w:bCs/>
                <w:bdr w:val="nil"/>
                <w:lang w:val="pt-BR"/>
              </w:rPr>
              <w:t>Estimativa do intervalo</w:t>
            </w:r>
          </w:p>
        </w:tc>
      </w:tr>
      <w:tr w:rsidR="00D61672" w:rsidTr="0039501D">
        <w:tc>
          <w:tcPr>
            <w:tcW w:w="2552" w:type="dxa"/>
          </w:tcPr>
          <w:p w:rsidR="00CB6F13" w:rsidRPr="00725D0B" w:rsidRDefault="00B7190E" w:rsidP="001C2F9F">
            <w:pPr>
              <w:rPr>
                <w:lang w:val="pt-BR"/>
              </w:rPr>
            </w:pPr>
            <w:r>
              <w:rPr>
                <w:rFonts w:eastAsia="Calibri Light" w:cs="Calibri Light"/>
                <w:bdr w:val="nil"/>
                <w:lang w:val="pt-BR"/>
              </w:rPr>
              <w:t>&lt;Adicionar mais fatores, se necessário&gt;</w:t>
            </w:r>
          </w:p>
        </w:tc>
        <w:tc>
          <w:tcPr>
            <w:tcW w:w="963" w:type="dxa"/>
          </w:tcPr>
          <w:p w:rsidR="00CB6F13" w:rsidRPr="005227BC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etc</w:t>
            </w:r>
          </w:p>
        </w:tc>
        <w:tc>
          <w:tcPr>
            <w:tcW w:w="4849" w:type="dxa"/>
          </w:tcPr>
          <w:p w:rsidR="00CB6F13" w:rsidRPr="005227BC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Etc</w:t>
            </w:r>
          </w:p>
        </w:tc>
        <w:tc>
          <w:tcPr>
            <w:tcW w:w="1842" w:type="dxa"/>
          </w:tcPr>
          <w:p w:rsidR="00CB6F13" w:rsidRDefault="00B7190E" w:rsidP="001C2F9F">
            <w:r>
              <w:rPr>
                <w:rFonts w:eastAsia="Calibri Light" w:cs="Calibri Light"/>
                <w:bdr w:val="nil"/>
                <w:lang w:val="pt-BR"/>
              </w:rPr>
              <w:t>Etc</w:t>
            </w:r>
          </w:p>
        </w:tc>
      </w:tr>
    </w:tbl>
    <w:p w:rsidR="00CB6F13" w:rsidRPr="00C428D4" w:rsidRDefault="00B7190E" w:rsidP="00CB6F13">
      <w:pPr>
        <w:pStyle w:val="Heading3"/>
      </w:pPr>
      <w:r>
        <w:rPr>
          <w:rFonts w:eastAsia="Calibri" w:cs="Calibri"/>
          <w:bdr w:val="nil"/>
          <w:lang w:val="pt-BR"/>
        </w:rPr>
        <w:t>NOTAS: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Uma pontuação de 3 em qualquer uma das categorias selecionadas em negrito deve ativar as atividades necessárias para produzir uma análise do processo refinada (RPA).</w:t>
      </w:r>
    </w:p>
    <w:p w:rsidR="00CB6F13" w:rsidRPr="00725D0B" w:rsidRDefault="00B7190E" w:rsidP="00CB6F13">
      <w:pPr>
        <w:pStyle w:val="Heading3"/>
        <w:rPr>
          <w:lang w:val="pt-BR"/>
        </w:rPr>
      </w:pPr>
      <w:r>
        <w:rPr>
          <w:rFonts w:eastAsia="Calibri" w:cs="Calibri"/>
          <w:bdr w:val="nil"/>
          <w:lang w:val="pt-BR"/>
        </w:rPr>
        <w:t>AVALIAÇÕES E EXEMPLO DE TEXTO</w:t>
      </w:r>
    </w:p>
    <w:p w:rsidR="00CB6F13" w:rsidRPr="00725D0B" w:rsidRDefault="00B7190E" w:rsidP="00CB6F13">
      <w:pPr>
        <w:pStyle w:val="Heading4"/>
        <w:rPr>
          <w:lang w:val="pt-BR"/>
        </w:rPr>
      </w:pPr>
      <w:r>
        <w:rPr>
          <w:rFonts w:ascii="Calibri" w:eastAsia="Calibri" w:hAnsi="Calibri" w:cs="Calibri"/>
          <w:szCs w:val="24"/>
          <w:bdr w:val="nil"/>
          <w:lang w:val="pt-BR"/>
        </w:rPr>
        <w:t>Avaliação da definição do processo do negócio: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1 – Descrições detalhadas e documentadas do processo existem e foram testemunhadas. A qualidade da documentação será avaliada durante as próximas fases do projeto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2 – Descrições detalhadas e documentadas do processo existem e foram testemunhadas. A qualidade das visões gerais será avaliada durante as próximas fases do projeto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3 – Não existe nenhuma documentação do processo material. Uma apresentação passo a passo do processo do negócio é obrigatória para que uma análise do processo refinada possa ser produzida.</w:t>
      </w:r>
    </w:p>
    <w:p w:rsidR="00CB6F13" w:rsidRDefault="00B7190E" w:rsidP="00CB6F13">
      <w:pPr>
        <w:pStyle w:val="Heading4"/>
      </w:pPr>
      <w:r>
        <w:rPr>
          <w:rFonts w:ascii="Calibri" w:eastAsia="Calibri" w:hAnsi="Calibri" w:cs="Calibri"/>
          <w:szCs w:val="24"/>
          <w:bdr w:val="nil"/>
          <w:lang w:val="pt-BR"/>
        </w:rPr>
        <w:t>Especialista no assunto: -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1 – o SME tem bons conhecimentos do processo documentado e estará disponível para dar suporte ao projeto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2 – o SME tem conhecimentos limitados do processo documentado OU o SME tem conhecimento razoável do processo, mas terá apenas disponibilidade limitada para dar suporte ao projeto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3– nenhum SME identificado com conhecimentos suficientes do processo detalhado </w:t>
      </w:r>
    </w:p>
    <w:p w:rsidR="00CB6F13" w:rsidRDefault="00B7190E" w:rsidP="00CB6F13">
      <w:pPr>
        <w:pStyle w:val="Heading4"/>
      </w:pPr>
      <w:r>
        <w:rPr>
          <w:rFonts w:ascii="Calibri" w:eastAsia="Calibri" w:hAnsi="Calibri" w:cs="Calibri"/>
          <w:szCs w:val="24"/>
          <w:bdr w:val="nil"/>
          <w:lang w:val="pt-BR"/>
        </w:rPr>
        <w:t>Complexidade do processo: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1 – o acesso ao processo do negócio tem uma pequena unidade de tempo média e/ou o processo envolve transação única na fila e/ou o processo não atualiza dados críticos do negócio e/ou não são necessárias alterações para o processo do negócio ponta a ponta.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2 – o acesso ao processo do negócio tem uma unidade de tempo média razoável e/ou o processo envolve algumas transações na fila e/ou o processo atualiza alguns dados críticos do negócio no final do processo e/ou são necessárias pequenas alterações para o processo do negócio ponta a ponta.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3 – o acesso ao processo do negócio tem uma elevada unidade de tempo média e/ou o processo envolve múltiplas transações na fila e/ou o processo atualiza dados críticos do negócio no decorrer do ciclo e/ou são necessárias alterações significativas para o processo do negócio ponta a ponta. Uma apresentação passo a passo do processo do negócio é obrigatória para que uma análise do processo refinada possa ser produzida. </w:t>
      </w:r>
    </w:p>
    <w:p w:rsidR="00CB6F13" w:rsidRDefault="00B7190E" w:rsidP="00CB6F13">
      <w:pPr>
        <w:pStyle w:val="Heading4"/>
      </w:pPr>
      <w:r>
        <w:rPr>
          <w:rFonts w:ascii="Calibri" w:eastAsia="Calibri" w:hAnsi="Calibri" w:cs="Calibri"/>
          <w:szCs w:val="24"/>
          <w:bdr w:val="nil"/>
          <w:lang w:val="pt-BR"/>
        </w:rPr>
        <w:t xml:space="preserve">Tecnologia da aplicação host:  </w:t>
      </w:r>
    </w:p>
    <w:p w:rsidR="00CB6F13" w:rsidRPr="0039501D" w:rsidRDefault="00B7190E" w:rsidP="0039501D">
      <w:pPr>
        <w:pStyle w:val="Bullet"/>
      </w:pPr>
      <w:r>
        <w:rPr>
          <w:rFonts w:eastAsia="Calibri Light" w:cs="Calibri Light"/>
          <w:bdr w:val="nil"/>
          <w:lang w:val="pt-BR"/>
        </w:rPr>
        <w:t>1 – HTML, Windows ou Mainframe</w:t>
      </w:r>
    </w:p>
    <w:p w:rsidR="00CB6F13" w:rsidRPr="0039501D" w:rsidRDefault="00B7190E" w:rsidP="0039501D">
      <w:pPr>
        <w:pStyle w:val="Bullet"/>
      </w:pPr>
      <w:r>
        <w:rPr>
          <w:rFonts w:eastAsia="Calibri Light" w:cs="Calibri Light"/>
          <w:bdr w:val="nil"/>
          <w:lang w:val="pt-BR"/>
        </w:rPr>
        <w:t>2 – Java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3 – Citrix etc, (Uma avaliação da aplicação é necessária para que uma análise refinada do processo possa ser produzida. </w:t>
      </w:r>
    </w:p>
    <w:p w:rsidR="00CB6F13" w:rsidRDefault="00B7190E" w:rsidP="00CB6F13">
      <w:pPr>
        <w:pStyle w:val="Heading4"/>
      </w:pPr>
      <w:r>
        <w:rPr>
          <w:rFonts w:ascii="Calibri" w:eastAsia="Calibri" w:hAnsi="Calibri" w:cs="Calibri"/>
          <w:szCs w:val="24"/>
          <w:bdr w:val="nil"/>
          <w:lang w:val="pt-BR"/>
        </w:rPr>
        <w:lastRenderedPageBreak/>
        <w:t>Reutilização de componentes existentes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1 – A maioria dos componentes necessários já existe na produção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2 – Alguns dos componentes necessários já existem na produção </w:t>
      </w:r>
    </w:p>
    <w:p w:rsidR="00CB6F13" w:rsidRPr="0039501D" w:rsidRDefault="00B7190E" w:rsidP="0039501D">
      <w:pPr>
        <w:pStyle w:val="Bullet"/>
      </w:pPr>
      <w:r>
        <w:rPr>
          <w:rFonts w:eastAsia="Calibri Light" w:cs="Calibri Light"/>
          <w:bdr w:val="nil"/>
          <w:lang w:val="pt-BR"/>
        </w:rPr>
        <w:t xml:space="preserve">3 – Nenhum dos componentes existe </w:t>
      </w:r>
    </w:p>
    <w:p w:rsidR="00CB6F13" w:rsidRDefault="00B7190E" w:rsidP="00CB6F13">
      <w:pPr>
        <w:pStyle w:val="Heading4"/>
      </w:pPr>
      <w:r>
        <w:rPr>
          <w:rFonts w:ascii="Calibri" w:eastAsia="Calibri" w:hAnsi="Calibri" w:cs="Calibri"/>
          <w:szCs w:val="24"/>
          <w:bdr w:val="nil"/>
          <w:lang w:val="pt-BR"/>
        </w:rPr>
        <w:t>Disponibilidade dos dados de teste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1 – Casos de teste estão disponíveis no ambiente real e/ou o cliente aprova o uso de casos de produção para testes controlados.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2 – Existe um ambiente de teste que é um espelho exato do ambiente real e o ambiente está prontamente disponível para uso da BP.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3 – O cliente não tem ambiente de teste apropriado e casos no ambiente real não podem ser utilizados para teste controlado ou a abordagem de teste ainda não foi definida.</w:t>
      </w:r>
    </w:p>
    <w:p w:rsidR="00CB6F13" w:rsidRPr="00725D0B" w:rsidRDefault="00B7190E" w:rsidP="00CB6F13">
      <w:pPr>
        <w:pStyle w:val="Heading4"/>
        <w:rPr>
          <w:lang w:val="pt-BR"/>
        </w:rPr>
      </w:pPr>
      <w:r>
        <w:rPr>
          <w:rFonts w:ascii="Calibri" w:eastAsia="Calibri" w:hAnsi="Calibri" w:cs="Calibri"/>
          <w:szCs w:val="24"/>
          <w:bdr w:val="nil"/>
          <w:lang w:val="pt-BR"/>
        </w:rPr>
        <w:t>Disponibilidade do hardware e aprovação de segurança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1 – A equipe de TI está envolvida e é capaz de fornecer a infraestrutura de hardware necessária com mínimo envolvimento da equipe Blue Prism. A equipe de segurança aprovou provisoriamente a abordagem, sujeito a confirmação durante a entrega do projeto. 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 xml:space="preserve">2 – Aconteceram conversas iniciais com TI, mas o caminho para criar a infraestrutura de hardware necessária não está definido. </w:t>
      </w:r>
    </w:p>
    <w:p w:rsidR="00CB6F13" w:rsidRPr="00725D0B" w:rsidRDefault="00B7190E" w:rsidP="0039501D">
      <w:pPr>
        <w:pStyle w:val="Bullet"/>
        <w:rPr>
          <w:lang w:val="pt-BR"/>
        </w:rPr>
      </w:pPr>
      <w:r>
        <w:rPr>
          <w:rFonts w:eastAsia="Calibri Light" w:cs="Calibri Light"/>
          <w:bdr w:val="nil"/>
          <w:lang w:val="pt-BR"/>
        </w:rPr>
        <w:t>3 – A infraestrutura de hardware será difícil de obter e/ou a equipe de segurança levantou dúvidas quanto à abordagem. OU – as equipes de TI e/ou segurança ainda não foram envolvidas.</w:t>
      </w:r>
    </w:p>
    <w:p w:rsidR="00CB6F13" w:rsidRPr="00725D0B" w:rsidRDefault="00B7190E" w:rsidP="00CB6F13">
      <w:pPr>
        <w:pStyle w:val="Heading3"/>
        <w:rPr>
          <w:lang w:val="pt-BR"/>
        </w:rPr>
      </w:pPr>
      <w:r>
        <w:rPr>
          <w:rFonts w:eastAsia="Calibri" w:cs="Calibri"/>
          <w:bdr w:val="nil"/>
          <w:lang w:val="pt-BR"/>
        </w:rPr>
        <w:t>NOTAS:</w:t>
      </w:r>
    </w:p>
    <w:p w:rsidR="00CB6F13" w:rsidRPr="00725D0B" w:rsidRDefault="00B7190E" w:rsidP="00CB6F13">
      <w:pPr>
        <w:pStyle w:val="Heading4"/>
        <w:rPr>
          <w:lang w:val="pt-BR"/>
        </w:rPr>
      </w:pPr>
      <w:r>
        <w:rPr>
          <w:rFonts w:ascii="Calibri" w:eastAsia="Calibri" w:hAnsi="Calibri" w:cs="Calibri"/>
          <w:szCs w:val="24"/>
          <w:bdr w:val="nil"/>
          <w:lang w:val="pt-BR"/>
        </w:rPr>
        <w:t>Apresentação passo a passo do processo do negócio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Uma apresentação passo a passo do processo do negócio exige que um consultor da Blue Prism reúna-se com um SME para ver o passo a passo do processo manualmente. Toda a documentação do processo disponível deve ser fornecida antes dessa reunião presencial.</w:t>
      </w:r>
    </w:p>
    <w:p w:rsidR="00CB6F13" w:rsidRPr="00725D0B" w:rsidRDefault="00B7190E" w:rsidP="00CB6F13">
      <w:pPr>
        <w:pStyle w:val="Heading4"/>
        <w:rPr>
          <w:lang w:val="pt-BR"/>
        </w:rPr>
      </w:pPr>
      <w:r>
        <w:rPr>
          <w:rFonts w:ascii="Calibri" w:eastAsia="Calibri" w:hAnsi="Calibri" w:cs="Calibri"/>
          <w:szCs w:val="24"/>
          <w:bdr w:val="nil"/>
          <w:lang w:val="pt-BR"/>
        </w:rPr>
        <w:t>Avaliação da aplicação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Onde o IPA identificou tecnologia nova ou complexa nos sistemas host, uma avaliação da aplicação será realizada – isso exige que o produto Blue Prism esteja instalado na área de trabalho de um cliente com acesso ao(s) sistema(s) host adequado(s)/</w:t>
      </w:r>
    </w:p>
    <w:p w:rsidR="00CB6F13" w:rsidRPr="00725D0B" w:rsidRDefault="00B7190E" w:rsidP="00CB6F13">
      <w:pPr>
        <w:pStyle w:val="Heading4"/>
        <w:rPr>
          <w:lang w:val="pt-BR"/>
        </w:rPr>
      </w:pPr>
      <w:r>
        <w:rPr>
          <w:rFonts w:ascii="Calibri" w:eastAsia="Calibri" w:hAnsi="Calibri" w:cs="Calibri"/>
          <w:szCs w:val="24"/>
          <w:bdr w:val="nil"/>
          <w:lang w:val="pt-BR"/>
        </w:rPr>
        <w:t>Local do cliente</w:t>
      </w:r>
    </w:p>
    <w:p w:rsidR="00CB6F13" w:rsidRPr="00725D0B" w:rsidRDefault="00B7190E" w:rsidP="00CB6F13">
      <w:pPr>
        <w:rPr>
          <w:lang w:val="pt-BR"/>
        </w:rPr>
      </w:pPr>
      <w:r>
        <w:rPr>
          <w:rFonts w:eastAsia="Calibri Light" w:cs="Calibri Light"/>
          <w:bdr w:val="nil"/>
          <w:lang w:val="pt-BR"/>
        </w:rPr>
        <w:t>Uma investigação do local do cliente será feita para todos os novos e possíveis clientes Blue Prism – a investigação do local do cliente incorpora uma apresentação passo a passo do processo do negócio e uma avaliação da aplicação.</w:t>
      </w:r>
    </w:p>
    <w:p w:rsidR="00CB6F13" w:rsidRPr="00725D0B" w:rsidRDefault="00CB6F13" w:rsidP="00CB6F13">
      <w:pPr>
        <w:rPr>
          <w:rStyle w:val="Heading1Char"/>
          <w:lang w:val="pt-BR"/>
        </w:rPr>
      </w:pPr>
    </w:p>
    <w:sectPr w:rsidR="00CB6F13" w:rsidRPr="00725D0B" w:rsidSect="00AE286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985" w:right="851" w:bottom="1304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C79" w:rsidRDefault="00684C79" w:rsidP="00D61672">
      <w:pPr>
        <w:spacing w:after="0"/>
      </w:pPr>
      <w:r>
        <w:separator/>
      </w:r>
    </w:p>
  </w:endnote>
  <w:endnote w:type="continuationSeparator" w:id="0">
    <w:p w:rsidR="00684C79" w:rsidRDefault="00684C79" w:rsidP="00D616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C6D" w:rsidRPr="00A26748" w:rsidRDefault="00B7190E" w:rsidP="002C725A">
    <w:pPr>
      <w:pStyle w:val="Footer"/>
      <w:jc w:val="center"/>
      <w:rPr>
        <w:color w:val="5A5A5A"/>
        <w:sz w:val="20"/>
        <w:szCs w:val="20"/>
      </w:rPr>
    </w:pPr>
    <w:r>
      <w:ptab w:relativeTo="margin" w:alignment="center" w:leader="none"/>
    </w:r>
    <w:r>
      <w:rPr>
        <w:rFonts w:eastAsia="Calibri Light" w:cs="Calibri Light"/>
        <w:color w:val="5A5A5A"/>
        <w:sz w:val="20"/>
        <w:szCs w:val="20"/>
        <w:bdr w:val="nil"/>
        <w:lang w:val="pt-BR"/>
      </w:rPr>
      <w:t>Comercial confidencial</w:t>
    </w:r>
    <w:r>
      <w:ptab w:relativeTo="margin" w:alignment="right" w:leader="none"/>
    </w:r>
    <w:r>
      <w:rPr>
        <w:rFonts w:eastAsia="Calibri Light" w:cs="Calibri Light"/>
        <w:color w:val="5A5A5A"/>
        <w:sz w:val="20"/>
        <w:szCs w:val="20"/>
        <w:bdr w:val="nil"/>
        <w:lang w:val="pt-BR"/>
      </w:rPr>
      <w:t xml:space="preserve">Página </w:t>
    </w:r>
    <w:r w:rsidR="00D61672" w:rsidRPr="00A26748">
      <w:rPr>
        <w:color w:val="5A5A5A"/>
        <w:sz w:val="20"/>
        <w:szCs w:val="20"/>
      </w:rPr>
      <w:fldChar w:fldCharType="begin"/>
    </w:r>
    <w:r w:rsidRPr="00A26748">
      <w:rPr>
        <w:color w:val="5A5A5A"/>
        <w:sz w:val="20"/>
        <w:szCs w:val="20"/>
      </w:rPr>
      <w:instrText xml:space="preserve"> PAGE   \* MERGEFORMAT </w:instrText>
    </w:r>
    <w:r w:rsidR="00D61672" w:rsidRPr="00A26748">
      <w:rPr>
        <w:color w:val="5A5A5A"/>
        <w:sz w:val="20"/>
        <w:szCs w:val="20"/>
      </w:rPr>
      <w:fldChar w:fldCharType="separate"/>
    </w:r>
    <w:r w:rsidR="003705F1">
      <w:rPr>
        <w:noProof/>
        <w:color w:val="5A5A5A"/>
        <w:sz w:val="20"/>
        <w:szCs w:val="20"/>
      </w:rPr>
      <w:t>1</w:t>
    </w:r>
    <w:r w:rsidR="00D61672" w:rsidRPr="00A26748">
      <w:rPr>
        <w:color w:val="5A5A5A"/>
        <w:sz w:val="20"/>
        <w:szCs w:val="20"/>
      </w:rPr>
      <w:fldChar w:fldCharType="end"/>
    </w:r>
    <w:r>
      <w:rPr>
        <w:rFonts w:eastAsia="Calibri Light" w:cs="Calibri Light"/>
        <w:color w:val="5A5A5A"/>
        <w:sz w:val="20"/>
        <w:szCs w:val="20"/>
        <w:bdr w:val="nil"/>
        <w:lang w:val="pt-BR"/>
      </w:rPr>
      <w:t xml:space="preserve"> de </w:t>
    </w:r>
    <w:r w:rsidR="00684C79">
      <w:rPr>
        <w:noProof/>
        <w:color w:val="5A5A5A"/>
        <w:sz w:val="20"/>
        <w:szCs w:val="20"/>
      </w:rPr>
      <w:fldChar w:fldCharType="begin"/>
    </w:r>
    <w:r w:rsidR="00684C79">
      <w:rPr>
        <w:noProof/>
        <w:color w:val="5A5A5A"/>
        <w:sz w:val="20"/>
        <w:szCs w:val="20"/>
      </w:rPr>
      <w:instrText xml:space="preserve"> NUMPAGES  \* MERGEFORMAT </w:instrText>
    </w:r>
    <w:r w:rsidR="00684C79">
      <w:rPr>
        <w:noProof/>
        <w:color w:val="5A5A5A"/>
        <w:sz w:val="20"/>
        <w:szCs w:val="20"/>
      </w:rPr>
      <w:fldChar w:fldCharType="separate"/>
    </w:r>
    <w:r w:rsidR="003705F1">
      <w:rPr>
        <w:noProof/>
        <w:color w:val="5A5A5A"/>
        <w:sz w:val="20"/>
        <w:szCs w:val="20"/>
      </w:rPr>
      <w:t>4</w:t>
    </w:r>
    <w:r w:rsidR="00684C79">
      <w:rPr>
        <w:noProof/>
        <w:color w:val="5A5A5A"/>
        <w:sz w:val="20"/>
        <w:szCs w:val="20"/>
      </w:rPr>
      <w:fldChar w:fldCharType="end"/>
    </w:r>
    <w:r>
      <w:rPr>
        <w:rFonts w:eastAsia="Calibri Light" w:cs="Calibri Light"/>
        <w:color w:val="5A5A5A"/>
        <w:sz w:val="20"/>
        <w:szCs w:val="20"/>
        <w:bdr w:val="nil"/>
        <w:lang w:val="pt-BR"/>
      </w:rPr>
      <w:br/>
      <w:t xml:space="preserve"> ®Blue Prism é uma marca comercial registrada da Blue Prism Limited</w:t>
    </w:r>
    <w:r w:rsidR="003705F1">
      <w:rPr>
        <w:noProof/>
        <w:color w:val="5A5A5A"/>
        <w:sz w:val="20"/>
        <w:szCs w:val="20"/>
        <w:lang w:eastAsia="en-GB"/>
      </w:rPr>
      <w:pict>
        <v:rect id="Rectangle 18" o:spid="_x0000_s2050" style="position:absolute;left:0;text-align:left;margin-left:0;margin-top:782.3pt;width:498.35pt;height:1.15pt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-relative:page;mso-width-percent:1000;mso-height-percent:0;mso-width-relative:margin;mso-height-relative:margin;v-text-anchor:middle" fillcolor="#004990" strokecolor="#004990" strokeweight="1.5pt">
          <w10:wrap anchorx="margin" anchory="page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FD4" w:rsidRPr="00F5709C" w:rsidRDefault="00B7190E" w:rsidP="00332FD4">
    <w:pPr>
      <w:pStyle w:val="Footer"/>
      <w:spacing w:line="360" w:lineRule="auto"/>
      <w:jc w:val="center"/>
      <w:rPr>
        <w:rFonts w:ascii="Calibri" w:hAnsi="Calibri"/>
        <w:color w:val="5A5A5A"/>
      </w:rPr>
    </w:pPr>
    <w:r>
      <w:rPr>
        <w:rFonts w:ascii="Calibri" w:eastAsia="Calibri" w:hAnsi="Calibri" w:cs="Calibri"/>
        <w:color w:val="5A5A5A"/>
        <w:bdr w:val="nil"/>
        <w:lang w:val="pt-BR"/>
      </w:rPr>
      <w:t>Para mais informações, entre em contato com:</w:t>
    </w:r>
  </w:p>
  <w:p w:rsidR="00332FD4" w:rsidRPr="00F5709C" w:rsidRDefault="00B7190E" w:rsidP="00332FD4">
    <w:pPr>
      <w:pStyle w:val="Footer"/>
      <w:spacing w:line="360" w:lineRule="auto"/>
      <w:jc w:val="center"/>
      <w:rPr>
        <w:rFonts w:ascii="Calibri" w:hAnsi="Calibri"/>
        <w:color w:val="5A5A5A"/>
      </w:rPr>
    </w:pPr>
    <w:r>
      <w:rPr>
        <w:rFonts w:ascii="Calibri" w:eastAsia="Calibri" w:hAnsi="Calibri" w:cs="Calibri"/>
        <w:color w:val="5A5A5A"/>
        <w:bdr w:val="nil"/>
        <w:lang w:val="pt-BR"/>
      </w:rPr>
      <w:t>info@blueprism.com | Reino Unido: +44 (0) 870 879 3000 | Estados Unidos: +1 888 757 7476</w:t>
    </w:r>
  </w:p>
  <w:p w:rsidR="00332FD4" w:rsidRPr="00F5709C" w:rsidRDefault="00B7190E" w:rsidP="00332FD4">
    <w:pPr>
      <w:pStyle w:val="Footer"/>
      <w:spacing w:line="360" w:lineRule="auto"/>
      <w:jc w:val="center"/>
      <w:rPr>
        <w:rFonts w:ascii="Calibri" w:hAnsi="Calibri"/>
        <w:b/>
        <w:color w:val="5A5A5A"/>
      </w:rPr>
    </w:pPr>
    <w:r>
      <w:rPr>
        <w:rFonts w:ascii="Calibri" w:eastAsia="Calibri" w:hAnsi="Calibri" w:cs="Calibri"/>
        <w:b/>
        <w:bCs/>
        <w:color w:val="5A5A5A"/>
        <w:bdr w:val="nil"/>
        <w:lang w:val="pt-BR"/>
      </w:rPr>
      <w:t>www.blueprism.com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C79" w:rsidRDefault="00684C79" w:rsidP="00D61672">
      <w:pPr>
        <w:spacing w:after="0"/>
      </w:pPr>
      <w:r>
        <w:separator/>
      </w:r>
    </w:p>
  </w:footnote>
  <w:footnote w:type="continuationSeparator" w:id="0">
    <w:p w:rsidR="00684C79" w:rsidRDefault="00684C79" w:rsidP="00D616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94A" w:rsidRDefault="00B7190E" w:rsidP="009C494A">
    <w:pPr>
      <w:pStyle w:val="Subtitle"/>
      <w:rPr>
        <w:rFonts w:ascii="Calibri Light" w:hAnsi="Calibri Light" w:cstheme="minorBidi"/>
        <w:caps w:val="0"/>
        <w:color w:val="auto"/>
        <w:sz w:val="22"/>
        <w:lang w:val="en-GB" w:eastAsia="zh-CN"/>
      </w:rPr>
    </w:pPr>
    <w:r>
      <w:rPr>
        <w:noProof/>
        <w:lang w:eastAsia="zh-TW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4516148</wp:posOffset>
          </wp:positionH>
          <wp:positionV relativeFrom="paragraph">
            <wp:posOffset>10491</wp:posOffset>
          </wp:positionV>
          <wp:extent cx="1915795" cy="588645"/>
          <wp:effectExtent l="0" t="0" r="8255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744029" name="BluePrism_Logo_Smal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95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05F1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13.55pt;width:287.25pt;height:27.45pt;z-index:251662336;mso-width-percent:0;mso-height-percent:0;mso-wrap-distance-left:9pt;mso-wrap-distance-top:3.6pt;mso-wrap-distance-right:9pt;mso-wrap-distance-bottom:3.6pt;mso-position-horizontal:left;mso-position-horizontal-relative:margin;mso-position-vertical-relative:text;mso-width-percent:0;mso-height-percent:0;mso-width-relative:margin;mso-height-relative:margin;v-text-anchor:top" filled="f" fillcolor="this" stroked="f">
          <v:textbox inset="0,0,0,0">
            <w:txbxContent>
              <w:p w:rsidR="00FD6129" w:rsidRPr="001762BD" w:rsidRDefault="00B7190E" w:rsidP="00FD6129">
                <w:pPr>
                  <w:rPr>
                    <w:sz w:val="44"/>
                    <w:szCs w:val="44"/>
                  </w:rPr>
                </w:pPr>
                <w:r>
                  <w:rPr>
                    <w:rStyle w:val="SubtitleChar"/>
                    <w:rFonts w:eastAsia="Calibri" w:cs="Calibri"/>
                    <w:sz w:val="44"/>
                    <w:szCs w:val="44"/>
                    <w:bdr w:val="nil"/>
                    <w:lang w:val="pt-BR"/>
                  </w:rPr>
                  <w:t>análise inicial do processo</w:t>
                </w:r>
              </w:p>
            </w:txbxContent>
          </v:textbox>
          <w10:wrap type="square" anchorx="margin"/>
        </v:shape>
      </w:pict>
    </w:r>
    <w:r w:rsidR="000C047C" w:rsidRPr="009C494A">
      <w:rPr>
        <w:noProof/>
        <w:lang w:eastAsia="zh-TW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228000" cy="1080000"/>
          <wp:effectExtent l="0" t="0" r="1905" b="6350"/>
          <wp:wrapNone/>
          <wp:docPr id="41" name="Picture 41" descr="D:\Profile\Desktop\BluePrism_Report_Pixelation_HeaderStrip_Th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027378" name="Picture 15" descr="D:\Profile\Desktop\BluePrism_Report_Pixelation_HeaderStrip_Th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1259" w:rsidRPr="009C494A">
      <w:tab/>
    </w:r>
  </w:p>
  <w:p w:rsidR="00911C6D" w:rsidRPr="00FD6129" w:rsidRDefault="00B7190E" w:rsidP="00BC2CA8">
    <w:pPr>
      <w:tabs>
        <w:tab w:val="center" w:pos="2504"/>
      </w:tabs>
      <w:rPr>
        <w:sz w:val="44"/>
        <w:szCs w:val="44"/>
      </w:rPr>
    </w:pPr>
    <w:r>
      <w:rPr>
        <w:sz w:val="44"/>
        <w:szCs w:val="44"/>
      </w:rPr>
      <w:tab/>
    </w:r>
    <w:r w:rsidR="00DA7BAC">
      <w:rPr>
        <w:sz w:val="44"/>
        <w:szCs w:val="44"/>
      </w:rPr>
      <w:tab/>
    </w:r>
    <w:r w:rsidR="00BC2CA8">
      <w:rPr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FD4" w:rsidRDefault="00B7190E" w:rsidP="00332FD4">
    <w:pPr>
      <w:pStyle w:val="Header"/>
      <w:jc w:val="center"/>
    </w:pPr>
    <w:r>
      <w:rPr>
        <w:noProof/>
        <w:lang w:val="en-US" w:eastAsia="zh-TW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2376000" cy="720000"/>
          <wp:effectExtent l="0" t="0" r="5715" b="4445"/>
          <wp:wrapNone/>
          <wp:docPr id="33" name="Picture 33" descr="D:\Profile\Documents\_000 Templates\_2015 Office Templates\Logos\Blue Prism Logo_PNG\bp-logo-strap-500x151px-RGB-8_47cm-150pxi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160802" name="Picture 1" descr="D:\Profile\Documents\_000 Templates\_2015 Office Templates\Logos\Blue Prism Logo_PNG\bp-logo-strap-500x151px-RGB-8_47cm-150pxi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1AB"/>
    <w:multiLevelType w:val="hybridMultilevel"/>
    <w:tmpl w:val="F4645010"/>
    <w:lvl w:ilvl="0" w:tplc="846A5A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7BAE44A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FF6600"/>
      </w:rPr>
    </w:lvl>
    <w:lvl w:ilvl="2" w:tplc="2FF890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F4886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1A76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44DCD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6467F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C0A3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F09B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1C7113"/>
    <w:multiLevelType w:val="hybridMultilevel"/>
    <w:tmpl w:val="A320AA9C"/>
    <w:lvl w:ilvl="0" w:tplc="7124F3D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1A89D8" w:tentative="1">
      <w:start w:val="1"/>
      <w:numFmt w:val="lowerLetter"/>
      <w:lvlText w:val="%2."/>
      <w:lvlJc w:val="left"/>
      <w:pPr>
        <w:ind w:left="1440" w:hanging="360"/>
      </w:pPr>
    </w:lvl>
    <w:lvl w:ilvl="2" w:tplc="A97EF834" w:tentative="1">
      <w:start w:val="1"/>
      <w:numFmt w:val="lowerRoman"/>
      <w:lvlText w:val="%3."/>
      <w:lvlJc w:val="right"/>
      <w:pPr>
        <w:ind w:left="2160" w:hanging="180"/>
      </w:pPr>
    </w:lvl>
    <w:lvl w:ilvl="3" w:tplc="681EA4F4" w:tentative="1">
      <w:start w:val="1"/>
      <w:numFmt w:val="decimal"/>
      <w:lvlText w:val="%4."/>
      <w:lvlJc w:val="left"/>
      <w:pPr>
        <w:ind w:left="2880" w:hanging="360"/>
      </w:pPr>
    </w:lvl>
    <w:lvl w:ilvl="4" w:tplc="9118ADB0" w:tentative="1">
      <w:start w:val="1"/>
      <w:numFmt w:val="lowerLetter"/>
      <w:lvlText w:val="%5."/>
      <w:lvlJc w:val="left"/>
      <w:pPr>
        <w:ind w:left="3600" w:hanging="360"/>
      </w:pPr>
    </w:lvl>
    <w:lvl w:ilvl="5" w:tplc="D7E02D60" w:tentative="1">
      <w:start w:val="1"/>
      <w:numFmt w:val="lowerRoman"/>
      <w:lvlText w:val="%6."/>
      <w:lvlJc w:val="right"/>
      <w:pPr>
        <w:ind w:left="4320" w:hanging="180"/>
      </w:pPr>
    </w:lvl>
    <w:lvl w:ilvl="6" w:tplc="4BDE0476" w:tentative="1">
      <w:start w:val="1"/>
      <w:numFmt w:val="decimal"/>
      <w:lvlText w:val="%7."/>
      <w:lvlJc w:val="left"/>
      <w:pPr>
        <w:ind w:left="5040" w:hanging="360"/>
      </w:pPr>
    </w:lvl>
    <w:lvl w:ilvl="7" w:tplc="894CCE84" w:tentative="1">
      <w:start w:val="1"/>
      <w:numFmt w:val="lowerLetter"/>
      <w:lvlText w:val="%8."/>
      <w:lvlJc w:val="left"/>
      <w:pPr>
        <w:ind w:left="5760" w:hanging="360"/>
      </w:pPr>
    </w:lvl>
    <w:lvl w:ilvl="8" w:tplc="148CB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C5639"/>
    <w:multiLevelType w:val="hybridMultilevel"/>
    <w:tmpl w:val="108A02BA"/>
    <w:lvl w:ilvl="0" w:tplc="CE8665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B35A1B5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BADF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2E37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1875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62013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7896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C083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1D457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B3F09"/>
    <w:multiLevelType w:val="hybridMultilevel"/>
    <w:tmpl w:val="ED1E5994"/>
    <w:lvl w:ilvl="0" w:tplc="B7A4B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BCB274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8B052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340EF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492C97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57E51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C4A64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9C4B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7700E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3C6B70"/>
    <w:multiLevelType w:val="hybridMultilevel"/>
    <w:tmpl w:val="4530B37A"/>
    <w:lvl w:ilvl="0" w:tplc="09EC0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0A1948" w:tentative="1">
      <w:start w:val="1"/>
      <w:numFmt w:val="lowerLetter"/>
      <w:lvlText w:val="%2."/>
      <w:lvlJc w:val="left"/>
      <w:pPr>
        <w:ind w:left="1440" w:hanging="360"/>
      </w:pPr>
    </w:lvl>
    <w:lvl w:ilvl="2" w:tplc="54E8BE74" w:tentative="1">
      <w:start w:val="1"/>
      <w:numFmt w:val="lowerRoman"/>
      <w:lvlText w:val="%3."/>
      <w:lvlJc w:val="right"/>
      <w:pPr>
        <w:ind w:left="2160" w:hanging="180"/>
      </w:pPr>
    </w:lvl>
    <w:lvl w:ilvl="3" w:tplc="238C161A" w:tentative="1">
      <w:start w:val="1"/>
      <w:numFmt w:val="decimal"/>
      <w:lvlText w:val="%4."/>
      <w:lvlJc w:val="left"/>
      <w:pPr>
        <w:ind w:left="2880" w:hanging="360"/>
      </w:pPr>
    </w:lvl>
    <w:lvl w:ilvl="4" w:tplc="5FE0919E" w:tentative="1">
      <w:start w:val="1"/>
      <w:numFmt w:val="lowerLetter"/>
      <w:lvlText w:val="%5."/>
      <w:lvlJc w:val="left"/>
      <w:pPr>
        <w:ind w:left="3600" w:hanging="360"/>
      </w:pPr>
    </w:lvl>
    <w:lvl w:ilvl="5" w:tplc="F842B796" w:tentative="1">
      <w:start w:val="1"/>
      <w:numFmt w:val="lowerRoman"/>
      <w:lvlText w:val="%6."/>
      <w:lvlJc w:val="right"/>
      <w:pPr>
        <w:ind w:left="4320" w:hanging="180"/>
      </w:pPr>
    </w:lvl>
    <w:lvl w:ilvl="6" w:tplc="85047C10" w:tentative="1">
      <w:start w:val="1"/>
      <w:numFmt w:val="decimal"/>
      <w:lvlText w:val="%7."/>
      <w:lvlJc w:val="left"/>
      <w:pPr>
        <w:ind w:left="5040" w:hanging="360"/>
      </w:pPr>
    </w:lvl>
    <w:lvl w:ilvl="7" w:tplc="E632A26E" w:tentative="1">
      <w:start w:val="1"/>
      <w:numFmt w:val="lowerLetter"/>
      <w:lvlText w:val="%8."/>
      <w:lvlJc w:val="left"/>
      <w:pPr>
        <w:ind w:left="5760" w:hanging="360"/>
      </w:pPr>
    </w:lvl>
    <w:lvl w:ilvl="8" w:tplc="041C29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E6274"/>
    <w:multiLevelType w:val="hybridMultilevel"/>
    <w:tmpl w:val="697C1ABE"/>
    <w:lvl w:ilvl="0" w:tplc="F06615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2592D6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3CA79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00DF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E0031F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812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EA83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4CDE6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05CA95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95E9C"/>
    <w:multiLevelType w:val="hybridMultilevel"/>
    <w:tmpl w:val="7AD26998"/>
    <w:lvl w:ilvl="0" w:tplc="F31E792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04F052" w:tentative="1">
      <w:start w:val="1"/>
      <w:numFmt w:val="lowerLetter"/>
      <w:lvlText w:val="%2."/>
      <w:lvlJc w:val="left"/>
      <w:pPr>
        <w:ind w:left="1440" w:hanging="360"/>
      </w:pPr>
    </w:lvl>
    <w:lvl w:ilvl="2" w:tplc="2D30E3A8" w:tentative="1">
      <w:start w:val="1"/>
      <w:numFmt w:val="lowerRoman"/>
      <w:lvlText w:val="%3."/>
      <w:lvlJc w:val="right"/>
      <w:pPr>
        <w:ind w:left="2160" w:hanging="180"/>
      </w:pPr>
    </w:lvl>
    <w:lvl w:ilvl="3" w:tplc="51D480C2" w:tentative="1">
      <w:start w:val="1"/>
      <w:numFmt w:val="decimal"/>
      <w:lvlText w:val="%4."/>
      <w:lvlJc w:val="left"/>
      <w:pPr>
        <w:ind w:left="2880" w:hanging="360"/>
      </w:pPr>
    </w:lvl>
    <w:lvl w:ilvl="4" w:tplc="3886E08E" w:tentative="1">
      <w:start w:val="1"/>
      <w:numFmt w:val="lowerLetter"/>
      <w:lvlText w:val="%5."/>
      <w:lvlJc w:val="left"/>
      <w:pPr>
        <w:ind w:left="3600" w:hanging="360"/>
      </w:pPr>
    </w:lvl>
    <w:lvl w:ilvl="5" w:tplc="5576FD78" w:tentative="1">
      <w:start w:val="1"/>
      <w:numFmt w:val="lowerRoman"/>
      <w:lvlText w:val="%6."/>
      <w:lvlJc w:val="right"/>
      <w:pPr>
        <w:ind w:left="4320" w:hanging="180"/>
      </w:pPr>
    </w:lvl>
    <w:lvl w:ilvl="6" w:tplc="67CE9F32" w:tentative="1">
      <w:start w:val="1"/>
      <w:numFmt w:val="decimal"/>
      <w:lvlText w:val="%7."/>
      <w:lvlJc w:val="left"/>
      <w:pPr>
        <w:ind w:left="5040" w:hanging="360"/>
      </w:pPr>
    </w:lvl>
    <w:lvl w:ilvl="7" w:tplc="C1047288" w:tentative="1">
      <w:start w:val="1"/>
      <w:numFmt w:val="lowerLetter"/>
      <w:lvlText w:val="%8."/>
      <w:lvlJc w:val="left"/>
      <w:pPr>
        <w:ind w:left="5760" w:hanging="360"/>
      </w:pPr>
    </w:lvl>
    <w:lvl w:ilvl="8" w:tplc="67660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929C0"/>
    <w:multiLevelType w:val="hybridMultilevel"/>
    <w:tmpl w:val="98B2736C"/>
    <w:lvl w:ilvl="0" w:tplc="0EB232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7C18183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7343E4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A99429C6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6F08F6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C349F4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ED0B06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DE3A0F3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40458C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3008D1"/>
    <w:multiLevelType w:val="hybridMultilevel"/>
    <w:tmpl w:val="54F6FB76"/>
    <w:lvl w:ilvl="0" w:tplc="C03403E2">
      <w:start w:val="1"/>
      <w:numFmt w:val="decimal"/>
      <w:pStyle w:val="NumberedListBP"/>
      <w:lvlText w:val="%1."/>
      <w:lvlJc w:val="left"/>
      <w:pPr>
        <w:ind w:left="720" w:hanging="360"/>
      </w:pPr>
      <w:rPr>
        <w:rFonts w:hint="default"/>
        <w:color w:val="F26624"/>
      </w:rPr>
    </w:lvl>
    <w:lvl w:ilvl="1" w:tplc="56C665E6">
      <w:start w:val="1"/>
      <w:numFmt w:val="lowerLetter"/>
      <w:lvlText w:val="%2."/>
      <w:lvlJc w:val="left"/>
      <w:pPr>
        <w:ind w:left="1440" w:hanging="360"/>
      </w:pPr>
    </w:lvl>
    <w:lvl w:ilvl="2" w:tplc="AE743464">
      <w:start w:val="1"/>
      <w:numFmt w:val="lowerRoman"/>
      <w:lvlText w:val="%3."/>
      <w:lvlJc w:val="right"/>
      <w:pPr>
        <w:ind w:left="2160" w:hanging="180"/>
      </w:pPr>
    </w:lvl>
    <w:lvl w:ilvl="3" w:tplc="2984166E" w:tentative="1">
      <w:start w:val="1"/>
      <w:numFmt w:val="decimal"/>
      <w:lvlText w:val="%4."/>
      <w:lvlJc w:val="left"/>
      <w:pPr>
        <w:ind w:left="2880" w:hanging="360"/>
      </w:pPr>
    </w:lvl>
    <w:lvl w:ilvl="4" w:tplc="F14EF016" w:tentative="1">
      <w:start w:val="1"/>
      <w:numFmt w:val="lowerLetter"/>
      <w:lvlText w:val="%5."/>
      <w:lvlJc w:val="left"/>
      <w:pPr>
        <w:ind w:left="3600" w:hanging="360"/>
      </w:pPr>
    </w:lvl>
    <w:lvl w:ilvl="5" w:tplc="3A06620A" w:tentative="1">
      <w:start w:val="1"/>
      <w:numFmt w:val="lowerRoman"/>
      <w:lvlText w:val="%6."/>
      <w:lvlJc w:val="right"/>
      <w:pPr>
        <w:ind w:left="4320" w:hanging="180"/>
      </w:pPr>
    </w:lvl>
    <w:lvl w:ilvl="6" w:tplc="B7C6D432" w:tentative="1">
      <w:start w:val="1"/>
      <w:numFmt w:val="decimal"/>
      <w:lvlText w:val="%7."/>
      <w:lvlJc w:val="left"/>
      <w:pPr>
        <w:ind w:left="5040" w:hanging="360"/>
      </w:pPr>
    </w:lvl>
    <w:lvl w:ilvl="7" w:tplc="299ED854" w:tentative="1">
      <w:start w:val="1"/>
      <w:numFmt w:val="lowerLetter"/>
      <w:lvlText w:val="%8."/>
      <w:lvlJc w:val="left"/>
      <w:pPr>
        <w:ind w:left="5760" w:hanging="360"/>
      </w:pPr>
    </w:lvl>
    <w:lvl w:ilvl="8" w:tplc="9E0A7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761DC"/>
    <w:multiLevelType w:val="hybridMultilevel"/>
    <w:tmpl w:val="ACB2CC88"/>
    <w:lvl w:ilvl="0" w:tplc="50E4B924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0C0A2FC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50D1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CCFD0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3CDB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16412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904F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84BF2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DDE45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814B14"/>
    <w:multiLevelType w:val="multilevel"/>
    <w:tmpl w:val="F88EEE82"/>
    <w:lvl w:ilvl="0">
      <w:start w:val="1"/>
      <w:numFmt w:val="decimal"/>
      <w:pStyle w:val="EnclosedNumberedListegtextboxortable"/>
      <w:lvlText w:val="%1."/>
      <w:lvlJc w:val="left"/>
      <w:pPr>
        <w:ind w:left="417" w:hanging="360"/>
      </w:pPr>
      <w:rPr>
        <w:rFonts w:hint="default"/>
        <w:color w:val="F26722"/>
      </w:rPr>
    </w:lvl>
    <w:lvl w:ilvl="1">
      <w:start w:val="1"/>
      <w:numFmt w:val="lowerLetter"/>
      <w:lvlText w:val="%2."/>
      <w:lvlJc w:val="left"/>
      <w:pPr>
        <w:ind w:left="738" w:hanging="31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07" w:hanging="31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11">
    <w:nsid w:val="2BC72A59"/>
    <w:multiLevelType w:val="hybridMultilevel"/>
    <w:tmpl w:val="1D22FAE6"/>
    <w:lvl w:ilvl="0" w:tplc="FD3C9EA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2C448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36D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4E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AB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AC8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6A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C5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E62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86011"/>
    <w:multiLevelType w:val="hybridMultilevel"/>
    <w:tmpl w:val="88661F0C"/>
    <w:lvl w:ilvl="0" w:tplc="71F075D6">
      <w:start w:val="1"/>
      <w:numFmt w:val="bullet"/>
      <w:pStyle w:val="BPBulletedLis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043014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2A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AC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66C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40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E5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ED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16979"/>
    <w:multiLevelType w:val="multilevel"/>
    <w:tmpl w:val="B3463040"/>
    <w:lvl w:ilvl="0">
      <w:start w:val="1"/>
      <w:numFmt w:val="bullet"/>
      <w:pStyle w:val="BulletListBP"/>
      <w:lvlText w:val=""/>
      <w:lvlJc w:val="left"/>
      <w:pPr>
        <w:ind w:left="717" w:hanging="360"/>
      </w:pPr>
      <w:rPr>
        <w:rFonts w:ascii="Symbol" w:hAnsi="Symbol" w:hint="default"/>
        <w:color w:val="F26624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4">
    <w:nsid w:val="310D7849"/>
    <w:multiLevelType w:val="hybridMultilevel"/>
    <w:tmpl w:val="F4B08A64"/>
    <w:lvl w:ilvl="0" w:tplc="9872DD2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EEBD0E" w:tentative="1">
      <w:start w:val="1"/>
      <w:numFmt w:val="lowerLetter"/>
      <w:lvlText w:val="%2."/>
      <w:lvlJc w:val="left"/>
      <w:pPr>
        <w:ind w:left="1440" w:hanging="360"/>
      </w:pPr>
    </w:lvl>
    <w:lvl w:ilvl="2" w:tplc="32DA3F40" w:tentative="1">
      <w:start w:val="1"/>
      <w:numFmt w:val="lowerRoman"/>
      <w:lvlText w:val="%3."/>
      <w:lvlJc w:val="right"/>
      <w:pPr>
        <w:ind w:left="2160" w:hanging="180"/>
      </w:pPr>
    </w:lvl>
    <w:lvl w:ilvl="3" w:tplc="DC182EA8" w:tentative="1">
      <w:start w:val="1"/>
      <w:numFmt w:val="decimal"/>
      <w:lvlText w:val="%4."/>
      <w:lvlJc w:val="left"/>
      <w:pPr>
        <w:ind w:left="2880" w:hanging="360"/>
      </w:pPr>
    </w:lvl>
    <w:lvl w:ilvl="4" w:tplc="421EF0DC" w:tentative="1">
      <w:start w:val="1"/>
      <w:numFmt w:val="lowerLetter"/>
      <w:lvlText w:val="%5."/>
      <w:lvlJc w:val="left"/>
      <w:pPr>
        <w:ind w:left="3600" w:hanging="360"/>
      </w:pPr>
    </w:lvl>
    <w:lvl w:ilvl="5" w:tplc="D5AE1624" w:tentative="1">
      <w:start w:val="1"/>
      <w:numFmt w:val="lowerRoman"/>
      <w:lvlText w:val="%6."/>
      <w:lvlJc w:val="right"/>
      <w:pPr>
        <w:ind w:left="4320" w:hanging="180"/>
      </w:pPr>
    </w:lvl>
    <w:lvl w:ilvl="6" w:tplc="C6AEB60E" w:tentative="1">
      <w:start w:val="1"/>
      <w:numFmt w:val="decimal"/>
      <w:lvlText w:val="%7."/>
      <w:lvlJc w:val="left"/>
      <w:pPr>
        <w:ind w:left="5040" w:hanging="360"/>
      </w:pPr>
    </w:lvl>
    <w:lvl w:ilvl="7" w:tplc="D2102AB2" w:tentative="1">
      <w:start w:val="1"/>
      <w:numFmt w:val="lowerLetter"/>
      <w:lvlText w:val="%8."/>
      <w:lvlJc w:val="left"/>
      <w:pPr>
        <w:ind w:left="5760" w:hanging="360"/>
      </w:pPr>
    </w:lvl>
    <w:lvl w:ilvl="8" w:tplc="4C32A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D679D"/>
    <w:multiLevelType w:val="hybridMultilevel"/>
    <w:tmpl w:val="C7604120"/>
    <w:lvl w:ilvl="0" w:tplc="F61EA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9E42D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89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47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263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6A1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6A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625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CE2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05A0B"/>
    <w:multiLevelType w:val="hybridMultilevel"/>
    <w:tmpl w:val="3CEA6168"/>
    <w:lvl w:ilvl="0" w:tplc="83967D80">
      <w:start w:val="3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23025C44" w:tentative="1">
      <w:start w:val="1"/>
      <w:numFmt w:val="lowerLetter"/>
      <w:lvlText w:val="%2."/>
      <w:lvlJc w:val="left"/>
      <w:pPr>
        <w:ind w:left="1440" w:hanging="360"/>
      </w:pPr>
    </w:lvl>
    <w:lvl w:ilvl="2" w:tplc="F9B8AB44" w:tentative="1">
      <w:start w:val="1"/>
      <w:numFmt w:val="lowerRoman"/>
      <w:lvlText w:val="%3."/>
      <w:lvlJc w:val="right"/>
      <w:pPr>
        <w:ind w:left="2160" w:hanging="180"/>
      </w:pPr>
    </w:lvl>
    <w:lvl w:ilvl="3" w:tplc="D048137C" w:tentative="1">
      <w:start w:val="1"/>
      <w:numFmt w:val="decimal"/>
      <w:lvlText w:val="%4."/>
      <w:lvlJc w:val="left"/>
      <w:pPr>
        <w:ind w:left="2880" w:hanging="360"/>
      </w:pPr>
    </w:lvl>
    <w:lvl w:ilvl="4" w:tplc="C5201A54" w:tentative="1">
      <w:start w:val="1"/>
      <w:numFmt w:val="lowerLetter"/>
      <w:lvlText w:val="%5."/>
      <w:lvlJc w:val="left"/>
      <w:pPr>
        <w:ind w:left="3600" w:hanging="360"/>
      </w:pPr>
    </w:lvl>
    <w:lvl w:ilvl="5" w:tplc="5AFCE51A" w:tentative="1">
      <w:start w:val="1"/>
      <w:numFmt w:val="lowerRoman"/>
      <w:lvlText w:val="%6."/>
      <w:lvlJc w:val="right"/>
      <w:pPr>
        <w:ind w:left="4320" w:hanging="180"/>
      </w:pPr>
    </w:lvl>
    <w:lvl w:ilvl="6" w:tplc="AB02F988" w:tentative="1">
      <w:start w:val="1"/>
      <w:numFmt w:val="decimal"/>
      <w:lvlText w:val="%7."/>
      <w:lvlJc w:val="left"/>
      <w:pPr>
        <w:ind w:left="5040" w:hanging="360"/>
      </w:pPr>
    </w:lvl>
    <w:lvl w:ilvl="7" w:tplc="766EFFCC" w:tentative="1">
      <w:start w:val="1"/>
      <w:numFmt w:val="lowerLetter"/>
      <w:lvlText w:val="%8."/>
      <w:lvlJc w:val="left"/>
      <w:pPr>
        <w:ind w:left="5760" w:hanging="360"/>
      </w:pPr>
    </w:lvl>
    <w:lvl w:ilvl="8" w:tplc="FF40C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696"/>
    <w:multiLevelType w:val="hybridMultilevel"/>
    <w:tmpl w:val="6954377C"/>
    <w:lvl w:ilvl="0" w:tplc="70E68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44C0D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6C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A7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87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A8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CB3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63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83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531CC"/>
    <w:multiLevelType w:val="hybridMultilevel"/>
    <w:tmpl w:val="5090281E"/>
    <w:lvl w:ilvl="0" w:tplc="DFECF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A21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87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8A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E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E8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CC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62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76D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73EB5"/>
    <w:multiLevelType w:val="hybridMultilevel"/>
    <w:tmpl w:val="DB527926"/>
    <w:lvl w:ilvl="0" w:tplc="82160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4D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944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66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CD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AC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43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47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86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20D0E"/>
    <w:multiLevelType w:val="hybridMultilevel"/>
    <w:tmpl w:val="29529E4E"/>
    <w:lvl w:ilvl="0" w:tplc="DFC41B10">
      <w:start w:val="15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979CC800" w:tentative="1">
      <w:start w:val="1"/>
      <w:numFmt w:val="lowerLetter"/>
      <w:lvlText w:val="%2."/>
      <w:lvlJc w:val="left"/>
      <w:pPr>
        <w:ind w:left="1440" w:hanging="360"/>
      </w:pPr>
    </w:lvl>
    <w:lvl w:ilvl="2" w:tplc="3E4C33EE" w:tentative="1">
      <w:start w:val="1"/>
      <w:numFmt w:val="lowerRoman"/>
      <w:lvlText w:val="%3."/>
      <w:lvlJc w:val="right"/>
      <w:pPr>
        <w:ind w:left="2160" w:hanging="180"/>
      </w:pPr>
    </w:lvl>
    <w:lvl w:ilvl="3" w:tplc="9F62EA62" w:tentative="1">
      <w:start w:val="1"/>
      <w:numFmt w:val="decimal"/>
      <w:lvlText w:val="%4."/>
      <w:lvlJc w:val="left"/>
      <w:pPr>
        <w:ind w:left="2880" w:hanging="360"/>
      </w:pPr>
    </w:lvl>
    <w:lvl w:ilvl="4" w:tplc="5302ED6E" w:tentative="1">
      <w:start w:val="1"/>
      <w:numFmt w:val="lowerLetter"/>
      <w:lvlText w:val="%5."/>
      <w:lvlJc w:val="left"/>
      <w:pPr>
        <w:ind w:left="3600" w:hanging="360"/>
      </w:pPr>
    </w:lvl>
    <w:lvl w:ilvl="5" w:tplc="54E442E4" w:tentative="1">
      <w:start w:val="1"/>
      <w:numFmt w:val="lowerRoman"/>
      <w:lvlText w:val="%6."/>
      <w:lvlJc w:val="right"/>
      <w:pPr>
        <w:ind w:left="4320" w:hanging="180"/>
      </w:pPr>
    </w:lvl>
    <w:lvl w:ilvl="6" w:tplc="9D44C242" w:tentative="1">
      <w:start w:val="1"/>
      <w:numFmt w:val="decimal"/>
      <w:lvlText w:val="%7."/>
      <w:lvlJc w:val="left"/>
      <w:pPr>
        <w:ind w:left="5040" w:hanging="360"/>
      </w:pPr>
    </w:lvl>
    <w:lvl w:ilvl="7" w:tplc="03D66DBE" w:tentative="1">
      <w:start w:val="1"/>
      <w:numFmt w:val="lowerLetter"/>
      <w:lvlText w:val="%8."/>
      <w:lvlJc w:val="left"/>
      <w:pPr>
        <w:ind w:left="5760" w:hanging="360"/>
      </w:pPr>
    </w:lvl>
    <w:lvl w:ilvl="8" w:tplc="84B45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D3C07"/>
    <w:multiLevelType w:val="hybridMultilevel"/>
    <w:tmpl w:val="20E689CE"/>
    <w:lvl w:ilvl="0" w:tplc="E5FC7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787A3A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9419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BA32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5C4CF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28269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5AED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1CAF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46A04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C16BF9"/>
    <w:multiLevelType w:val="hybridMultilevel"/>
    <w:tmpl w:val="FF34FF4E"/>
    <w:lvl w:ilvl="0" w:tplc="78A23D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BBE32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F08F7E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D6D4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7035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2DA5F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6949D9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6E16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72AD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410456"/>
    <w:multiLevelType w:val="hybridMultilevel"/>
    <w:tmpl w:val="337EE032"/>
    <w:lvl w:ilvl="0" w:tplc="49DE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D9ECF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4CA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00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05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2C3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EF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CA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1856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4026F"/>
    <w:multiLevelType w:val="hybridMultilevel"/>
    <w:tmpl w:val="5F56B934"/>
    <w:lvl w:ilvl="0" w:tplc="6F048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552E5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AC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08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04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CA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6F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EE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DA5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333F0"/>
    <w:multiLevelType w:val="hybridMultilevel"/>
    <w:tmpl w:val="90CA0FF6"/>
    <w:lvl w:ilvl="0" w:tplc="71DEE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E4F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0F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0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C4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90D3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08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493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903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75B07"/>
    <w:multiLevelType w:val="hybridMultilevel"/>
    <w:tmpl w:val="B9766C1E"/>
    <w:lvl w:ilvl="0" w:tplc="11461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F1A4B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ED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20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4F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020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3C4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42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A9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C401B"/>
    <w:multiLevelType w:val="hybridMultilevel"/>
    <w:tmpl w:val="CC3CC85A"/>
    <w:lvl w:ilvl="0" w:tplc="914219D6">
      <w:start w:val="3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8D7C37F2" w:tentative="1">
      <w:start w:val="1"/>
      <w:numFmt w:val="lowerLetter"/>
      <w:lvlText w:val="%2."/>
      <w:lvlJc w:val="left"/>
      <w:pPr>
        <w:ind w:left="1440" w:hanging="360"/>
      </w:pPr>
    </w:lvl>
    <w:lvl w:ilvl="2" w:tplc="CD4A44CC" w:tentative="1">
      <w:start w:val="1"/>
      <w:numFmt w:val="lowerRoman"/>
      <w:lvlText w:val="%3."/>
      <w:lvlJc w:val="right"/>
      <w:pPr>
        <w:ind w:left="2160" w:hanging="180"/>
      </w:pPr>
    </w:lvl>
    <w:lvl w:ilvl="3" w:tplc="DB42087E" w:tentative="1">
      <w:start w:val="1"/>
      <w:numFmt w:val="decimal"/>
      <w:lvlText w:val="%4."/>
      <w:lvlJc w:val="left"/>
      <w:pPr>
        <w:ind w:left="2880" w:hanging="360"/>
      </w:pPr>
    </w:lvl>
    <w:lvl w:ilvl="4" w:tplc="13A03ABA" w:tentative="1">
      <w:start w:val="1"/>
      <w:numFmt w:val="lowerLetter"/>
      <w:lvlText w:val="%5."/>
      <w:lvlJc w:val="left"/>
      <w:pPr>
        <w:ind w:left="3600" w:hanging="360"/>
      </w:pPr>
    </w:lvl>
    <w:lvl w:ilvl="5" w:tplc="4DE23026" w:tentative="1">
      <w:start w:val="1"/>
      <w:numFmt w:val="lowerRoman"/>
      <w:lvlText w:val="%6."/>
      <w:lvlJc w:val="right"/>
      <w:pPr>
        <w:ind w:left="4320" w:hanging="180"/>
      </w:pPr>
    </w:lvl>
    <w:lvl w:ilvl="6" w:tplc="902ED1FA" w:tentative="1">
      <w:start w:val="1"/>
      <w:numFmt w:val="decimal"/>
      <w:lvlText w:val="%7."/>
      <w:lvlJc w:val="left"/>
      <w:pPr>
        <w:ind w:left="5040" w:hanging="360"/>
      </w:pPr>
    </w:lvl>
    <w:lvl w:ilvl="7" w:tplc="08FE5284" w:tentative="1">
      <w:start w:val="1"/>
      <w:numFmt w:val="lowerLetter"/>
      <w:lvlText w:val="%8."/>
      <w:lvlJc w:val="left"/>
      <w:pPr>
        <w:ind w:left="5760" w:hanging="360"/>
      </w:pPr>
    </w:lvl>
    <w:lvl w:ilvl="8" w:tplc="F41EA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85473"/>
    <w:multiLevelType w:val="hybridMultilevel"/>
    <w:tmpl w:val="3384C04A"/>
    <w:lvl w:ilvl="0" w:tplc="9A1E1A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988A89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1A79C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CFE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B56C62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F8CDF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A2C5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AC93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0486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1345F8"/>
    <w:multiLevelType w:val="hybridMultilevel"/>
    <w:tmpl w:val="2DC8C9D0"/>
    <w:lvl w:ilvl="0" w:tplc="8A9E7044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45AC58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67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61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86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486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C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04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48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10604"/>
    <w:multiLevelType w:val="hybridMultilevel"/>
    <w:tmpl w:val="736EA894"/>
    <w:lvl w:ilvl="0" w:tplc="8FCABE34">
      <w:start w:val="11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8AF08604" w:tentative="1">
      <w:start w:val="1"/>
      <w:numFmt w:val="lowerLetter"/>
      <w:lvlText w:val="%2."/>
      <w:lvlJc w:val="left"/>
      <w:pPr>
        <w:ind w:left="1440" w:hanging="360"/>
      </w:pPr>
    </w:lvl>
    <w:lvl w:ilvl="2" w:tplc="E108A4CE" w:tentative="1">
      <w:start w:val="1"/>
      <w:numFmt w:val="lowerRoman"/>
      <w:lvlText w:val="%3."/>
      <w:lvlJc w:val="right"/>
      <w:pPr>
        <w:ind w:left="2160" w:hanging="180"/>
      </w:pPr>
    </w:lvl>
    <w:lvl w:ilvl="3" w:tplc="DBBA001C" w:tentative="1">
      <w:start w:val="1"/>
      <w:numFmt w:val="decimal"/>
      <w:lvlText w:val="%4."/>
      <w:lvlJc w:val="left"/>
      <w:pPr>
        <w:ind w:left="2880" w:hanging="360"/>
      </w:pPr>
    </w:lvl>
    <w:lvl w:ilvl="4" w:tplc="83EA3000" w:tentative="1">
      <w:start w:val="1"/>
      <w:numFmt w:val="lowerLetter"/>
      <w:lvlText w:val="%5."/>
      <w:lvlJc w:val="left"/>
      <w:pPr>
        <w:ind w:left="3600" w:hanging="360"/>
      </w:pPr>
    </w:lvl>
    <w:lvl w:ilvl="5" w:tplc="B562F85A" w:tentative="1">
      <w:start w:val="1"/>
      <w:numFmt w:val="lowerRoman"/>
      <w:lvlText w:val="%6."/>
      <w:lvlJc w:val="right"/>
      <w:pPr>
        <w:ind w:left="4320" w:hanging="180"/>
      </w:pPr>
    </w:lvl>
    <w:lvl w:ilvl="6" w:tplc="4F748E7C" w:tentative="1">
      <w:start w:val="1"/>
      <w:numFmt w:val="decimal"/>
      <w:lvlText w:val="%7."/>
      <w:lvlJc w:val="left"/>
      <w:pPr>
        <w:ind w:left="5040" w:hanging="360"/>
      </w:pPr>
    </w:lvl>
    <w:lvl w:ilvl="7" w:tplc="D060ACD8" w:tentative="1">
      <w:start w:val="1"/>
      <w:numFmt w:val="lowerLetter"/>
      <w:lvlText w:val="%8."/>
      <w:lvlJc w:val="left"/>
      <w:pPr>
        <w:ind w:left="5760" w:hanging="360"/>
      </w:pPr>
    </w:lvl>
    <w:lvl w:ilvl="8" w:tplc="85A46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812B4"/>
    <w:multiLevelType w:val="hybridMultilevel"/>
    <w:tmpl w:val="542A55F6"/>
    <w:lvl w:ilvl="0" w:tplc="B05C27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1844439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B524C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8EDF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C67B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EB6DE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5270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42FD0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A5423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8F1917"/>
    <w:multiLevelType w:val="multilevel"/>
    <w:tmpl w:val="92AA11AC"/>
    <w:lvl w:ilvl="0">
      <w:start w:val="1"/>
      <w:numFmt w:val="bullet"/>
      <w:pStyle w:val="EnclosedBulletListegtextboxortable"/>
      <w:lvlText w:val=""/>
      <w:lvlJc w:val="left"/>
      <w:pPr>
        <w:ind w:left="417" w:hanging="360"/>
      </w:pPr>
      <w:rPr>
        <w:rFonts w:ascii="Symbol" w:hAnsi="Symbol" w:hint="default"/>
        <w:color w:val="F26722"/>
      </w:rPr>
    </w:lvl>
    <w:lvl w:ilvl="1">
      <w:start w:val="1"/>
      <w:numFmt w:val="bullet"/>
      <w:lvlText w:val="o"/>
      <w:lvlJc w:val="left"/>
      <w:pPr>
        <w:ind w:left="738" w:hanging="312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107" w:hanging="31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33">
    <w:nsid w:val="715C2A85"/>
    <w:multiLevelType w:val="hybridMultilevel"/>
    <w:tmpl w:val="BFEA13B4"/>
    <w:lvl w:ilvl="0" w:tplc="70445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E7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4C8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CAA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EC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8FF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0F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80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2A8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CE76A1"/>
    <w:multiLevelType w:val="hybridMultilevel"/>
    <w:tmpl w:val="7D56DE54"/>
    <w:lvl w:ilvl="0" w:tplc="8ABCD7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FC6429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6447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6EF9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4308A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22AF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D896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4FA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A2674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6DC2945"/>
    <w:multiLevelType w:val="hybridMultilevel"/>
    <w:tmpl w:val="EFA66D88"/>
    <w:lvl w:ilvl="0" w:tplc="497C9E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4D00"/>
      </w:rPr>
    </w:lvl>
    <w:lvl w:ilvl="1" w:tplc="0EDEBF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59A96C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B027B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00E8D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57C7D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4EFB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30EC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6C078B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5431BC"/>
    <w:multiLevelType w:val="hybridMultilevel"/>
    <w:tmpl w:val="7340F33C"/>
    <w:lvl w:ilvl="0" w:tplc="78D65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464AD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EF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9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AD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01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A0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4E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C3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E7820"/>
    <w:multiLevelType w:val="hybridMultilevel"/>
    <w:tmpl w:val="737820E4"/>
    <w:lvl w:ilvl="0" w:tplc="0FB63D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2C787E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2830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9ACF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DC205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73E7B2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3621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C08C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E0EAD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DA735EE"/>
    <w:multiLevelType w:val="hybridMultilevel"/>
    <w:tmpl w:val="60A4D1B6"/>
    <w:lvl w:ilvl="0" w:tplc="1F8C9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183AC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6C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68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20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AF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80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8C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6B9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18"/>
  </w:num>
  <w:num w:numId="4">
    <w:abstractNumId w:val="24"/>
  </w:num>
  <w:num w:numId="5">
    <w:abstractNumId w:val="35"/>
  </w:num>
  <w:num w:numId="6">
    <w:abstractNumId w:val="23"/>
  </w:num>
  <w:num w:numId="7">
    <w:abstractNumId w:val="14"/>
  </w:num>
  <w:num w:numId="8">
    <w:abstractNumId w:val="4"/>
  </w:num>
  <w:num w:numId="9">
    <w:abstractNumId w:val="6"/>
  </w:num>
  <w:num w:numId="10">
    <w:abstractNumId w:val="10"/>
  </w:num>
  <w:num w:numId="11">
    <w:abstractNumId w:val="27"/>
  </w:num>
  <w:num w:numId="12">
    <w:abstractNumId w:val="20"/>
  </w:num>
  <w:num w:numId="13">
    <w:abstractNumId w:val="30"/>
  </w:num>
  <w:num w:numId="14">
    <w:abstractNumId w:val="1"/>
  </w:num>
  <w:num w:numId="15">
    <w:abstractNumId w:val="29"/>
  </w:num>
  <w:num w:numId="16">
    <w:abstractNumId w:val="12"/>
  </w:num>
  <w:num w:numId="17">
    <w:abstractNumId w:val="22"/>
  </w:num>
  <w:num w:numId="18">
    <w:abstractNumId w:val="15"/>
  </w:num>
  <w:num w:numId="19">
    <w:abstractNumId w:val="16"/>
  </w:num>
  <w:num w:numId="20">
    <w:abstractNumId w:val="36"/>
  </w:num>
  <w:num w:numId="21">
    <w:abstractNumId w:val="26"/>
  </w:num>
  <w:num w:numId="22">
    <w:abstractNumId w:val="17"/>
  </w:num>
  <w:num w:numId="23">
    <w:abstractNumId w:val="38"/>
  </w:num>
  <w:num w:numId="24">
    <w:abstractNumId w:val="37"/>
  </w:num>
  <w:num w:numId="25">
    <w:abstractNumId w:val="28"/>
  </w:num>
  <w:num w:numId="26">
    <w:abstractNumId w:val="5"/>
  </w:num>
  <w:num w:numId="27">
    <w:abstractNumId w:val="3"/>
  </w:num>
  <w:num w:numId="28">
    <w:abstractNumId w:val="34"/>
  </w:num>
  <w:num w:numId="29">
    <w:abstractNumId w:val="21"/>
  </w:num>
  <w:num w:numId="30">
    <w:abstractNumId w:val="31"/>
  </w:num>
  <w:num w:numId="31">
    <w:abstractNumId w:val="0"/>
  </w:num>
  <w:num w:numId="32">
    <w:abstractNumId w:val="8"/>
  </w:num>
  <w:num w:numId="33">
    <w:abstractNumId w:val="8"/>
    <w:lvlOverride w:ilvl="0">
      <w:startOverride w:val="1"/>
    </w:lvlOverride>
  </w:num>
  <w:num w:numId="34">
    <w:abstractNumId w:val="25"/>
  </w:num>
  <w:num w:numId="35">
    <w:abstractNumId w:val="11"/>
  </w:num>
  <w:num w:numId="36">
    <w:abstractNumId w:val="9"/>
  </w:num>
  <w:num w:numId="37">
    <w:abstractNumId w:val="8"/>
    <w:lvlOverride w:ilvl="0">
      <w:startOverride w:val="1"/>
    </w:lvlOverride>
  </w:num>
  <w:num w:numId="38">
    <w:abstractNumId w:val="2"/>
  </w:num>
  <w:num w:numId="39">
    <w:abstractNumId w:val="10"/>
    <w:lvlOverride w:ilvl="0">
      <w:startOverride w:val="1"/>
    </w:lvlOverride>
  </w:num>
  <w:num w:numId="40">
    <w:abstractNumId w:val="8"/>
    <w:lvlOverride w:ilvl="0">
      <w:startOverride w:val="1"/>
    </w:lvlOverride>
  </w:num>
  <w:num w:numId="41">
    <w:abstractNumId w:val="13"/>
  </w:num>
  <w:num w:numId="42">
    <w:abstractNumId w:val="32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1465"/>
    <w:rsid w:val="000068F4"/>
    <w:rsid w:val="000212DD"/>
    <w:rsid w:val="00036ED3"/>
    <w:rsid w:val="00037DE7"/>
    <w:rsid w:val="00052007"/>
    <w:rsid w:val="000624C7"/>
    <w:rsid w:val="00072FC7"/>
    <w:rsid w:val="0008407D"/>
    <w:rsid w:val="000A0DA3"/>
    <w:rsid w:val="000A2BE2"/>
    <w:rsid w:val="000B01A9"/>
    <w:rsid w:val="000B77EA"/>
    <w:rsid w:val="000C047C"/>
    <w:rsid w:val="000C0CB2"/>
    <w:rsid w:val="000C15BA"/>
    <w:rsid w:val="000C2FD7"/>
    <w:rsid w:val="000C4C7B"/>
    <w:rsid w:val="000D45EC"/>
    <w:rsid w:val="000D787F"/>
    <w:rsid w:val="000F435D"/>
    <w:rsid w:val="000F6E61"/>
    <w:rsid w:val="001022CF"/>
    <w:rsid w:val="00123FFA"/>
    <w:rsid w:val="00127AB5"/>
    <w:rsid w:val="00142850"/>
    <w:rsid w:val="001644F1"/>
    <w:rsid w:val="00164E17"/>
    <w:rsid w:val="001762BD"/>
    <w:rsid w:val="00193E9C"/>
    <w:rsid w:val="001A0707"/>
    <w:rsid w:val="001A7068"/>
    <w:rsid w:val="001B4F72"/>
    <w:rsid w:val="001B64FF"/>
    <w:rsid w:val="001C2F9F"/>
    <w:rsid w:val="001C5B64"/>
    <w:rsid w:val="001E0D2F"/>
    <w:rsid w:val="001E78F2"/>
    <w:rsid w:val="001F1590"/>
    <w:rsid w:val="001F72A5"/>
    <w:rsid w:val="0022485E"/>
    <w:rsid w:val="00234509"/>
    <w:rsid w:val="00236C04"/>
    <w:rsid w:val="00237DDB"/>
    <w:rsid w:val="00243C55"/>
    <w:rsid w:val="00251FAD"/>
    <w:rsid w:val="00255A8D"/>
    <w:rsid w:val="00265010"/>
    <w:rsid w:val="00282A8F"/>
    <w:rsid w:val="002833F2"/>
    <w:rsid w:val="002A15A5"/>
    <w:rsid w:val="002A557B"/>
    <w:rsid w:val="002C5D67"/>
    <w:rsid w:val="002C725A"/>
    <w:rsid w:val="002C7CBC"/>
    <w:rsid w:val="002D0951"/>
    <w:rsid w:val="002D6934"/>
    <w:rsid w:val="002E084C"/>
    <w:rsid w:val="002E4F56"/>
    <w:rsid w:val="002E55D0"/>
    <w:rsid w:val="002F1C28"/>
    <w:rsid w:val="00302175"/>
    <w:rsid w:val="00314AA1"/>
    <w:rsid w:val="00323DC7"/>
    <w:rsid w:val="0033063B"/>
    <w:rsid w:val="00332FD4"/>
    <w:rsid w:val="00344F51"/>
    <w:rsid w:val="0034653D"/>
    <w:rsid w:val="003475B6"/>
    <w:rsid w:val="00355D84"/>
    <w:rsid w:val="003705F1"/>
    <w:rsid w:val="00376F6C"/>
    <w:rsid w:val="0039501D"/>
    <w:rsid w:val="0039729B"/>
    <w:rsid w:val="003B3986"/>
    <w:rsid w:val="003D7BB4"/>
    <w:rsid w:val="003E33A1"/>
    <w:rsid w:val="003E3F29"/>
    <w:rsid w:val="003F5C3C"/>
    <w:rsid w:val="004035E5"/>
    <w:rsid w:val="0041784B"/>
    <w:rsid w:val="00423A5C"/>
    <w:rsid w:val="004318BC"/>
    <w:rsid w:val="00457434"/>
    <w:rsid w:val="0046372D"/>
    <w:rsid w:val="004715C6"/>
    <w:rsid w:val="004752CB"/>
    <w:rsid w:val="004755F7"/>
    <w:rsid w:val="00481D60"/>
    <w:rsid w:val="004845B1"/>
    <w:rsid w:val="004960A1"/>
    <w:rsid w:val="004B076E"/>
    <w:rsid w:val="004C6EE1"/>
    <w:rsid w:val="004F7BDF"/>
    <w:rsid w:val="005227BC"/>
    <w:rsid w:val="005262E0"/>
    <w:rsid w:val="00533877"/>
    <w:rsid w:val="00534522"/>
    <w:rsid w:val="005353EE"/>
    <w:rsid w:val="00544034"/>
    <w:rsid w:val="00545044"/>
    <w:rsid w:val="00556070"/>
    <w:rsid w:val="00576BB4"/>
    <w:rsid w:val="005B33E5"/>
    <w:rsid w:val="005B3C74"/>
    <w:rsid w:val="005C28E1"/>
    <w:rsid w:val="005C30A2"/>
    <w:rsid w:val="005E1259"/>
    <w:rsid w:val="005E1777"/>
    <w:rsid w:val="005E24CA"/>
    <w:rsid w:val="005F2207"/>
    <w:rsid w:val="00604298"/>
    <w:rsid w:val="00606140"/>
    <w:rsid w:val="00613A03"/>
    <w:rsid w:val="006170BF"/>
    <w:rsid w:val="00627327"/>
    <w:rsid w:val="0063414C"/>
    <w:rsid w:val="006431A7"/>
    <w:rsid w:val="0064512E"/>
    <w:rsid w:val="0065292E"/>
    <w:rsid w:val="006575A2"/>
    <w:rsid w:val="00670A2D"/>
    <w:rsid w:val="0067741A"/>
    <w:rsid w:val="00681396"/>
    <w:rsid w:val="00684C79"/>
    <w:rsid w:val="006868CC"/>
    <w:rsid w:val="006B2C15"/>
    <w:rsid w:val="006B2C57"/>
    <w:rsid w:val="006C1365"/>
    <w:rsid w:val="006C1DC8"/>
    <w:rsid w:val="006C329D"/>
    <w:rsid w:val="006C4689"/>
    <w:rsid w:val="006F1465"/>
    <w:rsid w:val="006F4AEA"/>
    <w:rsid w:val="00704895"/>
    <w:rsid w:val="00707A7A"/>
    <w:rsid w:val="00722EE9"/>
    <w:rsid w:val="00725D0B"/>
    <w:rsid w:val="007335DD"/>
    <w:rsid w:val="007402A9"/>
    <w:rsid w:val="00751BC4"/>
    <w:rsid w:val="0075566A"/>
    <w:rsid w:val="00762B7F"/>
    <w:rsid w:val="00762D66"/>
    <w:rsid w:val="00783506"/>
    <w:rsid w:val="00791E02"/>
    <w:rsid w:val="007A5512"/>
    <w:rsid w:val="007B69FE"/>
    <w:rsid w:val="007C31F1"/>
    <w:rsid w:val="007D7ED6"/>
    <w:rsid w:val="007E0038"/>
    <w:rsid w:val="007E1339"/>
    <w:rsid w:val="007F0627"/>
    <w:rsid w:val="007F4D3D"/>
    <w:rsid w:val="008074D3"/>
    <w:rsid w:val="00830CE1"/>
    <w:rsid w:val="00844A50"/>
    <w:rsid w:val="00846D00"/>
    <w:rsid w:val="00856210"/>
    <w:rsid w:val="008758A8"/>
    <w:rsid w:val="008A0503"/>
    <w:rsid w:val="008A4723"/>
    <w:rsid w:val="008C2981"/>
    <w:rsid w:val="008C5A75"/>
    <w:rsid w:val="008D5D2E"/>
    <w:rsid w:val="008F1E52"/>
    <w:rsid w:val="008F3028"/>
    <w:rsid w:val="008F309B"/>
    <w:rsid w:val="00903660"/>
    <w:rsid w:val="009068E7"/>
    <w:rsid w:val="00911C6D"/>
    <w:rsid w:val="00911D10"/>
    <w:rsid w:val="00916B8B"/>
    <w:rsid w:val="00917232"/>
    <w:rsid w:val="00921075"/>
    <w:rsid w:val="0094005E"/>
    <w:rsid w:val="0094266F"/>
    <w:rsid w:val="00950763"/>
    <w:rsid w:val="00963014"/>
    <w:rsid w:val="00981476"/>
    <w:rsid w:val="00987F36"/>
    <w:rsid w:val="009C15AE"/>
    <w:rsid w:val="009C2BFB"/>
    <w:rsid w:val="009C494A"/>
    <w:rsid w:val="009C5196"/>
    <w:rsid w:val="009C75C4"/>
    <w:rsid w:val="009E6274"/>
    <w:rsid w:val="00A05409"/>
    <w:rsid w:val="00A1753A"/>
    <w:rsid w:val="00A24AA7"/>
    <w:rsid w:val="00A26748"/>
    <w:rsid w:val="00A37A11"/>
    <w:rsid w:val="00A52C9D"/>
    <w:rsid w:val="00A54E79"/>
    <w:rsid w:val="00A60769"/>
    <w:rsid w:val="00A71291"/>
    <w:rsid w:val="00A7309A"/>
    <w:rsid w:val="00A83A9E"/>
    <w:rsid w:val="00A9105A"/>
    <w:rsid w:val="00A9174D"/>
    <w:rsid w:val="00AA13E5"/>
    <w:rsid w:val="00AB3B08"/>
    <w:rsid w:val="00AB4A58"/>
    <w:rsid w:val="00AC236C"/>
    <w:rsid w:val="00AE286B"/>
    <w:rsid w:val="00B01DAA"/>
    <w:rsid w:val="00B127B6"/>
    <w:rsid w:val="00B26BF0"/>
    <w:rsid w:val="00B300F8"/>
    <w:rsid w:val="00B30C4E"/>
    <w:rsid w:val="00B52E57"/>
    <w:rsid w:val="00B7190E"/>
    <w:rsid w:val="00B77534"/>
    <w:rsid w:val="00BA63DE"/>
    <w:rsid w:val="00BB3DA5"/>
    <w:rsid w:val="00BB3F3C"/>
    <w:rsid w:val="00BB503B"/>
    <w:rsid w:val="00BC2CA8"/>
    <w:rsid w:val="00BC2DA4"/>
    <w:rsid w:val="00BD0785"/>
    <w:rsid w:val="00BD131B"/>
    <w:rsid w:val="00BD3184"/>
    <w:rsid w:val="00BD4000"/>
    <w:rsid w:val="00BF46B8"/>
    <w:rsid w:val="00C0527D"/>
    <w:rsid w:val="00C106FA"/>
    <w:rsid w:val="00C1415B"/>
    <w:rsid w:val="00C2186E"/>
    <w:rsid w:val="00C25F51"/>
    <w:rsid w:val="00C25FC4"/>
    <w:rsid w:val="00C428D4"/>
    <w:rsid w:val="00C67916"/>
    <w:rsid w:val="00C67D07"/>
    <w:rsid w:val="00C7350A"/>
    <w:rsid w:val="00C74921"/>
    <w:rsid w:val="00CA3F53"/>
    <w:rsid w:val="00CB6F13"/>
    <w:rsid w:val="00CE67CB"/>
    <w:rsid w:val="00CF1736"/>
    <w:rsid w:val="00D14ECB"/>
    <w:rsid w:val="00D321FD"/>
    <w:rsid w:val="00D32D1A"/>
    <w:rsid w:val="00D4459F"/>
    <w:rsid w:val="00D47197"/>
    <w:rsid w:val="00D512E7"/>
    <w:rsid w:val="00D56924"/>
    <w:rsid w:val="00D5692B"/>
    <w:rsid w:val="00D5763E"/>
    <w:rsid w:val="00D61672"/>
    <w:rsid w:val="00D63A47"/>
    <w:rsid w:val="00D95A91"/>
    <w:rsid w:val="00DA7BAC"/>
    <w:rsid w:val="00DD4EA6"/>
    <w:rsid w:val="00DE32D1"/>
    <w:rsid w:val="00DF6AE7"/>
    <w:rsid w:val="00E2126C"/>
    <w:rsid w:val="00E42BEB"/>
    <w:rsid w:val="00E522B1"/>
    <w:rsid w:val="00E63EAC"/>
    <w:rsid w:val="00E652D2"/>
    <w:rsid w:val="00E93C34"/>
    <w:rsid w:val="00E9424A"/>
    <w:rsid w:val="00E976DA"/>
    <w:rsid w:val="00EA08F4"/>
    <w:rsid w:val="00EC7DE3"/>
    <w:rsid w:val="00EC7FA2"/>
    <w:rsid w:val="00EE2168"/>
    <w:rsid w:val="00EE2DAE"/>
    <w:rsid w:val="00EE4C81"/>
    <w:rsid w:val="00F22149"/>
    <w:rsid w:val="00F33AA8"/>
    <w:rsid w:val="00F366F6"/>
    <w:rsid w:val="00F467BF"/>
    <w:rsid w:val="00F5123E"/>
    <w:rsid w:val="00F5709C"/>
    <w:rsid w:val="00F63C6C"/>
    <w:rsid w:val="00F65138"/>
    <w:rsid w:val="00F74292"/>
    <w:rsid w:val="00F844B3"/>
    <w:rsid w:val="00F848C1"/>
    <w:rsid w:val="00FD11AB"/>
    <w:rsid w:val="00FD6129"/>
    <w:rsid w:val="00FD7A78"/>
    <w:rsid w:val="00FE2AE7"/>
    <w:rsid w:val="00FE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018E167-7174-43DA-91A1-CC8D64CE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EastAsia" w:hAnsi="Calibri Light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D67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903660"/>
    <w:pPr>
      <w:keepNext/>
      <w:keepLines/>
      <w:spacing w:before="160" w:after="0"/>
      <w:outlineLvl w:val="0"/>
    </w:pPr>
    <w:rPr>
      <w:rFonts w:ascii="Calibri" w:eastAsiaTheme="majorEastAsia" w:hAnsi="Calibri" w:cstheme="majorBidi"/>
      <w:color w:val="0F4B8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431A7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0F7DC2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03660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F4B8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431A7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iCs/>
      <w:color w:val="0F7DC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31A7"/>
    <w:pPr>
      <w:keepNext/>
      <w:keepLines/>
      <w:spacing w:before="40" w:after="0"/>
      <w:outlineLvl w:val="4"/>
    </w:pPr>
    <w:rPr>
      <w:rFonts w:ascii="Calibri" w:eastAsiaTheme="majorEastAsia" w:hAnsi="Calibri" w:cstheme="majorBidi"/>
      <w:color w:val="0F7DC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1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0F4B8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660"/>
    <w:rPr>
      <w:rFonts w:ascii="Calibri" w:eastAsiaTheme="majorEastAsia" w:hAnsi="Calibri" w:cstheme="majorBidi"/>
      <w:color w:val="0F4B8F"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0D787F"/>
    <w:pPr>
      <w:ind w:left="720"/>
    </w:pPr>
  </w:style>
  <w:style w:type="character" w:customStyle="1" w:styleId="Heading2Char">
    <w:name w:val="Heading 2 Char"/>
    <w:basedOn w:val="DefaultParagraphFont"/>
    <w:link w:val="Heading2"/>
    <w:rsid w:val="006431A7"/>
    <w:rPr>
      <w:rFonts w:ascii="Calibri" w:eastAsiaTheme="majorEastAsia" w:hAnsi="Calibri" w:cstheme="majorBidi"/>
      <w:color w:val="0F7DC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3660"/>
    <w:rPr>
      <w:rFonts w:ascii="Calibri" w:eastAsiaTheme="majorEastAsia" w:hAnsi="Calibri" w:cstheme="majorBidi"/>
      <w:color w:val="0F4B8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31A7"/>
    <w:rPr>
      <w:rFonts w:asciiTheme="minorHAnsi" w:eastAsiaTheme="majorEastAsia" w:hAnsiTheme="minorHAnsi" w:cstheme="majorBidi"/>
      <w:iCs/>
      <w:color w:val="0F7DC2"/>
      <w:sz w:val="24"/>
    </w:rPr>
  </w:style>
  <w:style w:type="table" w:styleId="TableGrid">
    <w:name w:val="Table Grid"/>
    <w:basedOn w:val="TableNormal"/>
    <w:rsid w:val="005F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193E9C"/>
    <w:pPr>
      <w:tabs>
        <w:tab w:val="decimal" w:pos="360"/>
      </w:tabs>
      <w:spacing w:after="200" w:line="276" w:lineRule="auto"/>
    </w:pPr>
    <w:rPr>
      <w:rFonts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93E9C"/>
    <w:pPr>
      <w:spacing w:after="0"/>
    </w:pPr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E9C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93E9C"/>
    <w:rPr>
      <w:i/>
      <w:iCs/>
    </w:rPr>
  </w:style>
  <w:style w:type="table" w:styleId="LightShading-Accent1">
    <w:name w:val="Light Shading Accent 1"/>
    <w:basedOn w:val="TableNormal"/>
    <w:uiPriority w:val="60"/>
    <w:rsid w:val="00193E9C"/>
    <w:pPr>
      <w:spacing w:after="0" w:line="240" w:lineRule="auto"/>
    </w:pPr>
    <w:rPr>
      <w:color w:val="2E74B5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C5D67"/>
    <w:pPr>
      <w:spacing w:after="0"/>
      <w:contextualSpacing/>
    </w:pPr>
    <w:rPr>
      <w:rFonts w:ascii="Calibri" w:eastAsiaTheme="majorEastAsia" w:hAnsi="Calibri" w:cstheme="majorBidi"/>
      <w:color w:val="5A5A5A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D67"/>
    <w:rPr>
      <w:rFonts w:ascii="Calibri" w:eastAsiaTheme="majorEastAsia" w:hAnsi="Calibri" w:cstheme="majorBidi"/>
      <w:color w:val="5A5A5A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1075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1075"/>
    <w:rPr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1A7"/>
    <w:pPr>
      <w:numPr>
        <w:ilvl w:val="1"/>
      </w:numPr>
    </w:pPr>
    <w:rPr>
      <w:rFonts w:ascii="Calibri" w:hAnsi="Calibri" w:cs="Times New Roman"/>
      <w:caps/>
      <w:color w:val="0F4B8F"/>
      <w:sz w:val="36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431A7"/>
    <w:rPr>
      <w:rFonts w:ascii="Calibri" w:hAnsi="Calibri" w:cs="Times New Roman"/>
      <w:caps/>
      <w:color w:val="0F4B8F"/>
      <w:sz w:val="3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715C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C6EE1"/>
    <w:pPr>
      <w:tabs>
        <w:tab w:val="right" w:leader="dot" w:pos="10194"/>
      </w:tabs>
      <w:spacing w:after="100"/>
    </w:pPr>
    <w:rPr>
      <w:noProof/>
      <w:color w:val="004990"/>
    </w:rPr>
  </w:style>
  <w:style w:type="paragraph" w:styleId="TOC2">
    <w:name w:val="toc 2"/>
    <w:basedOn w:val="Normal"/>
    <w:next w:val="Normal"/>
    <w:autoRedefine/>
    <w:uiPriority w:val="39"/>
    <w:unhideWhenUsed/>
    <w:rsid w:val="00DD4EA6"/>
    <w:pPr>
      <w:tabs>
        <w:tab w:val="right" w:leader="dot" w:pos="10194"/>
      </w:tabs>
      <w:spacing w:after="100"/>
      <w:ind w:left="220"/>
    </w:pPr>
    <w:rPr>
      <w:noProof/>
      <w:color w:val="007CC3"/>
    </w:rPr>
  </w:style>
  <w:style w:type="paragraph" w:styleId="TOC3">
    <w:name w:val="toc 3"/>
    <w:basedOn w:val="Normal"/>
    <w:next w:val="Normal"/>
    <w:autoRedefine/>
    <w:uiPriority w:val="39"/>
    <w:unhideWhenUsed/>
    <w:rsid w:val="0092107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10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D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50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B503B"/>
  </w:style>
  <w:style w:type="paragraph" w:styleId="Footer">
    <w:name w:val="footer"/>
    <w:basedOn w:val="Normal"/>
    <w:link w:val="FooterChar"/>
    <w:uiPriority w:val="99"/>
    <w:unhideWhenUsed/>
    <w:rsid w:val="00BB503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503B"/>
  </w:style>
  <w:style w:type="character" w:styleId="PlaceholderText">
    <w:name w:val="Placeholder Text"/>
    <w:basedOn w:val="DefaultParagraphFont"/>
    <w:uiPriority w:val="99"/>
    <w:semiHidden/>
    <w:rsid w:val="00BB503B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D47197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6431A7"/>
    <w:rPr>
      <w:rFonts w:ascii="Calibri" w:eastAsiaTheme="majorEastAsia" w:hAnsi="Calibri" w:cstheme="majorBidi"/>
      <w:color w:val="0F7DC2"/>
    </w:rPr>
  </w:style>
  <w:style w:type="paragraph" w:styleId="Revision">
    <w:name w:val="Revision"/>
    <w:hidden/>
    <w:uiPriority w:val="99"/>
    <w:semiHidden/>
    <w:rsid w:val="00A71291"/>
    <w:pPr>
      <w:spacing w:after="0" w:line="240" w:lineRule="auto"/>
    </w:pPr>
  </w:style>
  <w:style w:type="table" w:customStyle="1" w:styleId="BluePrismDarkBorder-Accent1">
    <w:name w:val="Blue Prism Dark Border - Accent 1"/>
    <w:basedOn w:val="LightShading-Accent1"/>
    <w:uiPriority w:val="99"/>
    <w:rsid w:val="007F4D3D"/>
    <w:rPr>
      <w:color w:val="auto"/>
    </w:rPr>
    <w:tblPr>
      <w:tblStyleRowBandSize w:val="1"/>
      <w:tblStyleColBandSize w:val="1"/>
      <w:tblInd w:w="0" w:type="dxa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7DC2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4B8F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BluePrismLightBorder-Accent1">
    <w:name w:val="Blue Prism Light Border - Accent 1"/>
    <w:basedOn w:val="LightShading-Accent1"/>
    <w:uiPriority w:val="99"/>
    <w:rsid w:val="007F4D3D"/>
    <w:rPr>
      <w:color w:val="auto"/>
    </w:rPr>
    <w:tblPr>
      <w:tblStyleRowBandSize w:val="1"/>
      <w:tblStyleColBandSize w:val="1"/>
      <w:tblInd w:w="0" w:type="dxa"/>
      <w:tblBorders>
        <w:top w:val="single" w:sz="8" w:space="0" w:color="DEEAF6" w:themeColor="accent1" w:themeTint="33"/>
        <w:left w:val="single" w:sz="8" w:space="0" w:color="DEEAF6" w:themeColor="accent1" w:themeTint="33"/>
        <w:bottom w:val="single" w:sz="8" w:space="0" w:color="DEEAF6" w:themeColor="accent1" w:themeTint="33"/>
        <w:right w:val="single" w:sz="8" w:space="0" w:color="DEEAF6" w:themeColor="accent1" w:themeTint="33"/>
        <w:insideH w:val="single" w:sz="8" w:space="0" w:color="DEEAF6" w:themeColor="accent1" w:themeTint="33"/>
        <w:insideV w:val="single" w:sz="8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4B8F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7DC2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Legal">
    <w:name w:val="Legal"/>
    <w:basedOn w:val="Normal"/>
    <w:link w:val="LegalChar"/>
    <w:qFormat/>
    <w:rsid w:val="004715C6"/>
    <w:rPr>
      <w:sz w:val="18"/>
    </w:rPr>
  </w:style>
  <w:style w:type="paragraph" w:customStyle="1" w:styleId="BPBulletedList">
    <w:name w:val="BP Bulleted List"/>
    <w:basedOn w:val="ListParagraph"/>
    <w:next w:val="ListParagraph"/>
    <w:link w:val="BPBulletedListChar"/>
    <w:rsid w:val="00BB3DA5"/>
    <w:pPr>
      <w:numPr>
        <w:numId w:val="16"/>
      </w:numPr>
    </w:pPr>
  </w:style>
  <w:style w:type="character" w:customStyle="1" w:styleId="LegalChar">
    <w:name w:val="Legal Char"/>
    <w:basedOn w:val="DefaultParagraphFont"/>
    <w:link w:val="Legal"/>
    <w:rsid w:val="004715C6"/>
    <w:rPr>
      <w:sz w:val="18"/>
    </w:rPr>
  </w:style>
  <w:style w:type="character" w:customStyle="1" w:styleId="BPBulletedListChar">
    <w:name w:val="BP Bulleted List Char"/>
    <w:basedOn w:val="DefaultParagraphFont"/>
    <w:link w:val="BPBulletedList"/>
    <w:rsid w:val="00BB3DA5"/>
  </w:style>
  <w:style w:type="character" w:customStyle="1" w:styleId="Heading6Char">
    <w:name w:val="Heading 6 Char"/>
    <w:basedOn w:val="DefaultParagraphFont"/>
    <w:link w:val="Heading6"/>
    <w:uiPriority w:val="9"/>
    <w:semiHidden/>
    <w:rsid w:val="006431A7"/>
    <w:rPr>
      <w:rFonts w:asciiTheme="minorHAnsi" w:eastAsiaTheme="majorEastAsia" w:hAnsiTheme="minorHAnsi" w:cstheme="majorBidi"/>
      <w:color w:val="0F4B8F"/>
    </w:rPr>
  </w:style>
  <w:style w:type="paragraph" w:customStyle="1" w:styleId="EnclosedNumberedListegtextboxortable">
    <w:name w:val="Enclosed Numbered List (e.g. textbox or table)"/>
    <w:basedOn w:val="ListParagraph"/>
    <w:link w:val="EnclosedNumberedListegtextboxortableChar"/>
    <w:qFormat/>
    <w:rsid w:val="00903660"/>
    <w:pPr>
      <w:numPr>
        <w:numId w:val="10"/>
      </w:numPr>
      <w:spacing w:before="120"/>
    </w:pPr>
    <w:rPr>
      <w:color w:val="000000" w:themeColor="text1"/>
      <w:sz w:val="20"/>
      <w:szCs w:val="20"/>
    </w:rPr>
  </w:style>
  <w:style w:type="paragraph" w:customStyle="1" w:styleId="NumberedListBP">
    <w:name w:val="Numbered List (BP)"/>
    <w:basedOn w:val="ListParagraph"/>
    <w:link w:val="NumberedListBPChar"/>
    <w:qFormat/>
    <w:rsid w:val="009C2BFB"/>
    <w:pPr>
      <w:numPr>
        <w:numId w:val="32"/>
      </w:numPr>
    </w:pPr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0C047C"/>
  </w:style>
  <w:style w:type="character" w:customStyle="1" w:styleId="EnclosedNumberedListegtextboxortableChar">
    <w:name w:val="Enclosed Numbered List (e.g. textbox or table) Char"/>
    <w:basedOn w:val="ListParagraphChar"/>
    <w:link w:val="EnclosedNumberedListegtextboxortable"/>
    <w:rsid w:val="000C15BA"/>
    <w:rPr>
      <w:color w:val="000000" w:themeColor="text1"/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0C047C"/>
    <w:pPr>
      <w:numPr>
        <w:numId w:val="35"/>
      </w:numPr>
    </w:pPr>
  </w:style>
  <w:style w:type="character" w:customStyle="1" w:styleId="NumberedListBPChar">
    <w:name w:val="Numbered List (BP) Char"/>
    <w:basedOn w:val="ListParagraphChar"/>
    <w:link w:val="NumberedListBP"/>
    <w:rsid w:val="000C047C"/>
    <w:rPr>
      <w:noProof/>
      <w:lang w:eastAsia="en-GB"/>
    </w:rPr>
  </w:style>
  <w:style w:type="paragraph" w:customStyle="1" w:styleId="BulletList">
    <w:name w:val="Bullet List"/>
    <w:basedOn w:val="NumberedListBP"/>
    <w:link w:val="BulletListChar"/>
    <w:rsid w:val="00F467BF"/>
    <w:pPr>
      <w:numPr>
        <w:numId w:val="36"/>
      </w:numPr>
      <w:ind w:left="709" w:hanging="284"/>
    </w:pPr>
  </w:style>
  <w:style w:type="paragraph" w:customStyle="1" w:styleId="BulletListBP">
    <w:name w:val="Bullet List (BP)"/>
    <w:basedOn w:val="NumberedListBP"/>
    <w:link w:val="BulletListBPChar"/>
    <w:qFormat/>
    <w:rsid w:val="009C2BFB"/>
    <w:pPr>
      <w:numPr>
        <w:numId w:val="41"/>
      </w:numPr>
    </w:pPr>
  </w:style>
  <w:style w:type="character" w:customStyle="1" w:styleId="BulletChar">
    <w:name w:val="Bullet Char"/>
    <w:basedOn w:val="DefaultParagraphFont"/>
    <w:link w:val="Bullet"/>
    <w:rsid w:val="000C047C"/>
  </w:style>
  <w:style w:type="character" w:customStyle="1" w:styleId="BulletListChar">
    <w:name w:val="Bullet List Char"/>
    <w:basedOn w:val="BulletChar"/>
    <w:link w:val="BulletList"/>
    <w:rsid w:val="00F467BF"/>
    <w:rPr>
      <w:noProof/>
      <w:lang w:eastAsia="en-GB"/>
    </w:rPr>
  </w:style>
  <w:style w:type="character" w:customStyle="1" w:styleId="BulletListBPChar">
    <w:name w:val="Bullet List (BP) Char"/>
    <w:basedOn w:val="NumberedListBPChar"/>
    <w:link w:val="BulletListBP"/>
    <w:rsid w:val="00B52E57"/>
    <w:rPr>
      <w:noProof/>
      <w:lang w:eastAsia="en-GB"/>
    </w:rPr>
  </w:style>
  <w:style w:type="paragraph" w:customStyle="1" w:styleId="EnclosedBulletListegtextboxortable">
    <w:name w:val="Enclosed Bullet List (e.g. textbox or table)"/>
    <w:basedOn w:val="EnclosedNumberedListegtextboxortable"/>
    <w:link w:val="EnclosedBulletListegtextboxortableChar"/>
    <w:qFormat/>
    <w:rsid w:val="00903660"/>
    <w:pPr>
      <w:numPr>
        <w:numId w:val="42"/>
      </w:numPr>
      <w:spacing w:before="40" w:after="40"/>
    </w:pPr>
  </w:style>
  <w:style w:type="character" w:customStyle="1" w:styleId="EnclosedBulletListegtextboxortableChar">
    <w:name w:val="Enclosed Bullet List (e.g. textbox or table) Char"/>
    <w:basedOn w:val="EnclosedNumberedListegtextboxortableChar"/>
    <w:link w:val="EnclosedBulletListegtextboxortable"/>
    <w:rsid w:val="008A0503"/>
    <w:rPr>
      <w:color w:val="000000" w:themeColor="text1"/>
      <w:sz w:val="20"/>
      <w:szCs w:val="20"/>
    </w:rPr>
  </w:style>
  <w:style w:type="paragraph" w:customStyle="1" w:styleId="EnclosedText">
    <w:name w:val="Enclosed Text"/>
    <w:basedOn w:val="Normal"/>
    <w:link w:val="EnclosedTextChar"/>
    <w:qFormat/>
    <w:rsid w:val="00C106FA"/>
    <w:pPr>
      <w:spacing w:after="80"/>
    </w:pPr>
    <w:rPr>
      <w:sz w:val="20"/>
    </w:rPr>
  </w:style>
  <w:style w:type="character" w:customStyle="1" w:styleId="EnclosedTextChar">
    <w:name w:val="Enclosed Text Char"/>
    <w:basedOn w:val="DefaultParagraphFont"/>
    <w:link w:val="EnclosedText"/>
    <w:rsid w:val="00C106FA"/>
    <w:rPr>
      <w:sz w:val="20"/>
    </w:rPr>
  </w:style>
  <w:style w:type="paragraph" w:customStyle="1" w:styleId="TableHeading">
    <w:name w:val="Table Heading"/>
    <w:basedOn w:val="Normal"/>
    <w:qFormat/>
    <w:rsid w:val="00CB6F13"/>
    <w:pPr>
      <w:spacing w:before="120" w:after="240"/>
    </w:pPr>
    <w:rPr>
      <w:rFonts w:ascii="Arial" w:eastAsia="Times New Roman" w:hAnsi="Arial" w:cs="Times New Roman"/>
      <w:b/>
      <w:color w:val="262626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%20Williams\OneDrive%20-%20Blue%20Prism\Geographical%20expansion\Translation\Chinese\E1\E1\Initial%20Process%20Analysi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chemeClr val="bg1">
            <a:lumMod val="95000"/>
          </a:schemeClr>
        </a:solidFill>
        <a:ln w="9525">
          <a:solidFill>
            <a:srgbClr val="0F4B8F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722D93FBEA44F9D1D94232EA0F9DB" ma:contentTypeVersion="7" ma:contentTypeDescription="Create a new document." ma:contentTypeScope="" ma:versionID="3e1ce5fb10a6627d2810ac233b69fc63">
  <xsd:schema xmlns:xsd="http://www.w3.org/2001/XMLSchema" xmlns:xs="http://www.w3.org/2001/XMLSchema" xmlns:p="http://schemas.microsoft.com/office/2006/metadata/properties" xmlns:ns2="14e7e687-b653-4611-a4cd-27e1b2f522f4" xmlns:ns3="5b404421-906d-4733-9612-a446c66c9fd6" targetNamespace="http://schemas.microsoft.com/office/2006/metadata/properties" ma:root="true" ma:fieldsID="cafd33f0be8cc9810b88e6a557656e8d" ns2:_="" ns3:_="">
    <xsd:import namespace="14e7e687-b653-4611-a4cd-27e1b2f522f4"/>
    <xsd:import namespace="5b404421-906d-4733-9612-a446c66c9f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e687-b653-4611-a4cd-27e1b2f52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4421-906d-4733-9612-a446c66c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6FFD-ADB6-45CE-8164-4E71309FE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e687-b653-4611-a4cd-27e1b2f522f4"/>
    <ds:schemaRef ds:uri="5b404421-906d-4733-9612-a446c66c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DFE87-AD2B-4834-88A0-E30F4A899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1D37F-79B8-4465-B32A-74B0DCDED80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AFE3EC1-68DC-40BE-9B59-0E942E02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Initial Process Analysis Template.dotx</Template>
  <TotalTime>0</TotalTime>
  <Pages>4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&lt;Process name&gt;</vt:lpstr>
    </vt:vector>
  </TitlesOfParts>
  <Company>Blue Prism</Company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&lt;Process name&gt;</dc:title>
  <dc:creator>Cari Williams</dc:creator>
  <cp:lastModifiedBy>Anastasiia Engelhardt</cp:lastModifiedBy>
  <cp:revision>5</cp:revision>
  <cp:lastPrinted>2016-01-08T09:50:00Z</cp:lastPrinted>
  <dcterms:created xsi:type="dcterms:W3CDTF">2018-11-05T09:36:00Z</dcterms:created>
  <dcterms:modified xsi:type="dcterms:W3CDTF">2018-11-06T16:03:00Z</dcterms:modified>
  <cp:category>Data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0x01010011C722D93FBEA44F9D1D94232EA0F9DB</vt:lpwstr>
  </property>
</Properties>
</file>